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The Editors-in-Chief</w:t>
      </w:r>
      <w:r>
        <w:t xml:space="preserve"> </w:t>
      </w:r>
      <w:r>
        <w:rPr>
          <w:iCs/>
          <w:i/>
        </w:rPr>
        <w:t xml:space="preserve">Management International Review</w:t>
      </w:r>
      <w:r>
        <w:t xml:space="preserve"> </w:t>
      </w:r>
      <w:r>
        <w:t xml:space="preserve">Springer Gabler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as a Research Article in</w:t>
      </w:r>
      <w:r>
        <w:t xml:space="preserve"> </w:t>
      </w:r>
      <w:r>
        <w:rPr>
          <w:iCs/>
          <w:i/>
        </w:rPr>
        <w:t xml:space="preserve">Management International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documents a field-level finding about the integrity of the accumulated I-P evidence base in international management research.</w:t>
      </w:r>
    </w:p>
    <w:p>
      <w:pPr>
        <w:pStyle w:val="BodyText"/>
      </w:pPr>
      <w:r>
        <w:rPr>
          <w:bCs/>
          <w:b/>
        </w:rPr>
        <w:t xml:space="preserve">Fit with Management International Review.</w:t>
      </w:r>
      <w:r>
        <w:t xml:space="preserve"> </w:t>
      </w:r>
      <w:r>
        <w:t xml:space="preserve">MIR's editorial mission centres on rigorous theoretical and empirical contributions to international management — including meta-analytic syntheses that consolidate, critically appraise, and reframe IB evidence. The I-P relationship is the most meta-analyzed question in IB research, yet pooled positive effects coexist with substantial unresolved heterogeneity. Our contribution is methodological and corrective: we apply a three-level model with full PRISMA 2020 reporting and OSF pre-registration, decompose within- versus between-study variance, and quantify how much of the literature's apparent signal survives a formal publication-bias correction. The findings speak directly to MIR's IB scholarly readership about what four decades of I-P evidence warrant as a basis for theory development and managerial inference.</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This evidence reframes how the field should interpret I-P heterogeneity: effect-size dispersion is driven more by within-paper design variation (measurement, sample-frame, model specification) than by between-country contextual differences, with direct implications for how IB scholars should model and report I-P estimates going forward.</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in the full sample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 — a contribution that, in our view, is more valuable than yet another set of confirmatory positive moderator effects.</w:t>
      </w:r>
    </w:p>
    <w:p>
      <w:pPr>
        <w:pStyle w:val="BodyText"/>
      </w:pPr>
      <w:r>
        <w:t xml:space="preserve">Third — and most consequential for MIR's IB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w:t>
      </w:r>
      <w:r>
        <w:t xml:space="preserve"> </w:t>
      </w:r>
      <m:oMath>
        <m:r>
          <m:rPr>
            <m:sty m:val="p"/>
          </m:rPr>
          <m:t>≈</m:t>
        </m:r>
      </m:oMath>
      <w:r>
        <w:t xml:space="preserve"> </w:t>
      </w:r>
      <w:r>
        <w:t xml:space="preserve">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The interpretation is that four decades of I-P evidence may be materially inflated by publication selection. For IB theory: residual heterogeneity in the I-P literature plausibly reflects publication-side selection more than the substantive contextual moderators (institutional development, digital readiness, governance quality) commonly invoked. For managerial inference: the bias-corrected average performance return to internationalization is meaningfully smaller than the published evidence base suggests.</w:t>
      </w:r>
    </w:p>
    <w:p>
      <w:pPr>
        <w:pStyle w:val="BodyText"/>
      </w:pPr>
      <w:r>
        <w:rPr>
          <w:bCs/>
          <w:b/>
        </w:rPr>
        <w:t xml:space="preserve">Manuscript readiness.</w:t>
      </w:r>
    </w:p>
    <w:p>
      <w:pPr>
        <w:numPr>
          <w:ilvl w:val="0"/>
          <w:numId w:val="1001"/>
        </w:numPr>
        <w:pStyle w:val="Compact"/>
      </w:pPr>
      <w:r>
        <w:t xml:space="preserve">The manuscript adopts a structured abstract format (Purpose / Design / Findings / Limitations / Implications / Originality) compatible with MIR's house style.</w:t>
      </w:r>
    </w:p>
    <w:p>
      <w:pPr>
        <w:numPr>
          <w:ilvl w:val="0"/>
          <w:numId w:val="1001"/>
        </w:numPr>
        <w:pStyle w:val="Compact"/>
      </w:pPr>
      <w:r>
        <w:t xml:space="preserve">Main-text prose is</w:t>
      </w:r>
      <w:r>
        <w:t xml:space="preserve"> </w:t>
      </w:r>
      <m:oMath>
        <m:r>
          <m:rPr>
            <m:sty m:val="p"/>
          </m:rPr>
          <m:t>≈</m:t>
        </m:r>
      </m:oMath>
      <w:r>
        <w:t xml:space="preserve"> </w:t>
      </w:r>
      <w:r>
        <w:t xml:space="preserve">11,700 words; total Emerald-equivalent count (incl. references + 9 tables + 6 figures,</w:t>
      </w:r>
      <w:r>
        <w:t xml:space="preserve"> </w:t>
      </w:r>
      <m:oMath>
        <m:r>
          <m:rPr>
            <m:sty m:val="p"/>
          </m:rPr>
          <m:t>≈</m:t>
        </m:r>
      </m:oMath>
      <w:r>
        <w:t xml:space="preserve"> </w:t>
      </w:r>
      <w:r>
        <w:t xml:space="preserve">280 word-equivalents each) is</w:t>
      </w:r>
      <w:r>
        <w:t xml:space="preserve"> </w:t>
      </w:r>
      <m:oMath>
        <m:r>
          <m:rPr>
            <m:sty m:val="p"/>
          </m:rPr>
          <m:t>≈</m:t>
        </m:r>
      </m:oMath>
      <w:r>
        <w:t xml:space="preserve"> </w:t>
      </w:r>
      <w:r>
        <w:t xml:space="preserve">17,000. The submission build will streamline to MIR's</w:t>
      </w:r>
      <w:r>
        <w:t xml:space="preserve"> </w:t>
      </w:r>
      <m:oMath>
        <m:r>
          <m:rPr>
            <m:sty m:val="p"/>
          </m:rPr>
          <m:t>≈</m:t>
        </m:r>
      </m:oMath>
      <w:r>
        <w:t xml:space="preserve"> </w:t>
      </w:r>
      <w:r>
        <w:t xml:space="preserve">12,000-word total target via three measures: (i) migrating Appendices A–C (PRISMA trace, full coding protocol, MetaEssentials-versus-</w:t>
      </w:r>
      <w:r>
        <w:rPr>
          <w:iCs/>
          <w:i/>
        </w:rPr>
        <w:t xml:space="preserve">metafor</w:t>
      </w:r>
      <w:r>
        <w:t xml:space="preserve"> </w:t>
      </w:r>
      <w:r>
        <w:t xml:space="preserve">consistency check) to OSF supplementary materials; (ii) condensing Theory §2 overlap and Method §3.5–3.7 technical detail; and (iii) moving 3–4 secondary tables to OSF supplementary tables.</w:t>
      </w:r>
    </w:p>
    <w:p>
      <w:pPr>
        <w:numPr>
          <w:ilvl w:val="0"/>
          <w:numId w:val="1001"/>
        </w:numPr>
        <w:pStyle w:val="Compact"/>
      </w:pPr>
      <w:r>
        <w:t xml:space="preserve">Single-coder extraction is transparently disclosed in Methods and Limitations; coding quality is supported by protocol calibration on a pilot set and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The work is a secondary meta-analysis of previously published aggregate effect sizes; no primary data collection from human or animal subjects was conducted.</w:t>
      </w:r>
    </w:p>
    <w:p>
      <w:pPr>
        <w:pStyle w:val="BodyText"/>
      </w:pPr>
      <w:r>
        <w:rPr>
          <w:bCs/>
          <w:b/>
        </w:rPr>
        <w:t xml:space="preserve">Manuscript classification.</w:t>
      </w:r>
    </w:p>
    <w:p>
      <w:pPr>
        <w:numPr>
          <w:ilvl w:val="0"/>
          <w:numId w:val="1002"/>
        </w:numPr>
        <w:pStyle w:val="Compact"/>
      </w:pPr>
      <w:r>
        <w:t xml:space="preserve">Article type: Research Article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2026-05-30T15:35:42Z</dcterms:created>
  <dcterms:modified xsi:type="dcterms:W3CDTF">2026-05-30T15:35:42Z</dcterms:modified>
</cp:coreProperties>
</file>

<file path=docProps/custom.xml><?xml version="1.0" encoding="utf-8"?>
<Properties xmlns="http://schemas.openxmlformats.org/officeDocument/2006/custom-properties" xmlns:vt="http://schemas.openxmlformats.org/officeDocument/2006/docPropsVTypes"/>
</file>