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 VEFR), bao trùm</w:t>
      </w:r>
      <w:r>
        <w:t xml:space="preserve"> </w:t>
      </w:r>
      <w:r>
        <w:rPr>
          <w:bCs/>
          <w:b/>
        </w:rPr>
        <w:t xml:space="preserve">47 nền kinh tế</w:t>
      </w:r>
      <w:r>
        <w:t xml:space="preserve"> </w:t>
      </w:r>
      <w:r>
        <w:t xml:space="preserve">với 6 phân nhóm con theo khung Biến thiên chế độ bối cảnh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lockText"/>
      </w:pPr>
      <w:r>
        <w:rPr>
          <w:iCs/>
          <w:i/>
        </w:rPr>
        <w:t xml:space="preserve">Ghi chú dữ liệu: Số liệu tổng hợp nêu trong chuyên đề (101.185 doanh nghiệp · 47 nền kinh tế · 108 cặp quốc gia × năm) phản ánh bản khóa dữ liệu tại thời điểm thực hiện chuyên đề. Luận án tổng thể sử dụng bản khóa dữ liệu đã cập nhật (mẫu phân tích chính 91.982 doanh nghiệp · 49 nền kinh tế · 102 đợt quốc gia–năm) sau khi chuẩn hóa lại và xử lý trùng lặp dữ liệu panel; trường hợp biên SIDS gồm 7 nền kinh tế Thái Bình Dương.</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 7,0% (2027).</w:t>
      </w:r>
      <w:r>
        <w:t xml:space="preserve"> </w:t>
      </w:r>
      <w:r>
        <w:rPr>
          <w:bCs/>
          <w:b/>
        </w:rPr>
        <w:t xml:space="preserve">Lớp thứ bảy là bất định chính sách thuế quan Mỹ 2026</w:t>
      </w:r>
      <w:r>
        <w:t xml:space="preserve"> </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nằm</w:t>
      </w:r>
      <w:r>
        <w:t xml:space="preserve"> </w:t>
      </w:r>
      <w:r>
        <w:rPr>
          <w:iCs/>
          <w:i/>
        </w:rPr>
        <w:t xml:space="preserve">ngoài</w:t>
      </w:r>
      <w:r>
        <w:t xml:space="preserve"> </w:t>
      </w:r>
      <w:r>
        <w:t xml:space="preserve">cửa sổ dữ liệu phân tích của chuyên đề (2009–2025); chúng được nêu để định khung diễn giải vĩ mô và định hướng chính sách, chứ không phản ánh trong các thống kê mô tả — vốn được tính trên dữ liệu WBES đến hết 2025.</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w:t>
      </w:r>
      <w:r>
        <w:t xml:space="preserve">— gấp 2,5 lần phạm vi của Đỗ &amp; Phan (2026 — VEFR).</w:t>
      </w:r>
    </w:p>
    <w:p>
      <w:pPr>
        <w:pStyle w:val="BodyText"/>
      </w:pPr>
      <w:r>
        <w:rPr>
          <w:bCs/>
          <w:b/>
        </w:rPr>
        <w:t xml:space="preserve">Ẩn dụ minh họa —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(40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40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 40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 Upper-middle (6 nước)</w:t>
      </w:r>
      <w:r>
        <w:t xml:space="preserve">: Trung Quốc, Malaysia, Thái Lan, Kazakhstan, Armenia, Georgia.</w:t>
      </w:r>
      <w:r>
        <w:t xml:space="preserve"> </w:t>
      </w:r>
      <w:r>
        <w:t xml:space="preserve">-</w:t>
      </w:r>
      <w:r>
        <w:t xml:space="preserve"> </w:t>
      </w:r>
      <w:r>
        <w:rPr>
          <w:bCs/>
          <w:b/>
        </w:rPr>
        <w:t xml:space="preserve">(iv) Chuyển đổi TB–thấp —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crosswalk &amp; bản khóa:</w:t>
      </w:r>
      <w:r>
        <w:t xml:space="preserve"> </w:t>
      </w:r>
      <w:r>
        <w:t xml:space="preserve">Nhãn nhóm và thành viên trong §2.1.3 và Bảng 2.3.2.1 đã</w:t>
      </w:r>
      <w:r>
        <w:t xml:space="preserve"> </w:t>
      </w:r>
      <w:r>
        <w:rPr>
          <w:bCs/>
          <w:b/>
        </w:rPr>
        <w:t xml:space="preserve">căn theo nhãn dữ liệu</w:t>
      </w:r>
      <w:r>
        <w:rPr>
          <w:bCs/>
          <w:b/>
        </w:rPr>
        <w:t xml:space="preserve"> </w:t>
      </w:r>
      <w:r>
        <w:rPr>
          <w:rStyle w:val="VerbatimChar"/>
          <w:bCs/>
          <w:b/>
        </w:rPr>
        <w:t xml:space="preserve">icrv_label</w:t>
      </w:r>
      <w:r>
        <w:rPr>
          <w:bCs/>
          <w:b/>
        </w:rPr>
        <w:t xml:space="preserve"> </w:t>
      </w:r>
      <w:r>
        <w:rPr>
          <w:bCs/>
          <w:b/>
        </w:rPr>
        <w:t xml:space="preserve">P7</w:t>
      </w:r>
      <w:r>
        <w:t xml:space="preserve"> </w:t>
      </w:r>
      <w:r>
        <w:t xml:space="preserve">(đồng bộ Chuyên đề 2): Nhóm IV =</w:t>
      </w:r>
      <w:r>
        <w:t xml:space="preserve"> </w:t>
      </w:r>
      <w:r>
        <w:rPr>
          <w:rStyle w:val="VerbatimChar"/>
        </w:rPr>
        <w:t xml:space="preserve">Lower_mid_transition</w:t>
      </w:r>
      <w:r>
        <w:t xml:space="preserve">, Nhóm V =</w:t>
      </w:r>
      <w:r>
        <w:t xml:space="preserve"> </w:t>
      </w:r>
      <w:r>
        <w:rPr>
          <w:rStyle w:val="VerbatimChar"/>
        </w:rPr>
        <w:t xml:space="preserve">Emerging</w:t>
      </w:r>
      <w:r>
        <w:t xml:space="preserve">; hoán nhóm so với bản CĐ trước — Sri Lanka, Jordan → Nhóm V; Bangladesh, Pakistan → Nhóm IV; Timor-Leste → Nhóm VI.</w:t>
      </w:r>
      <w:r>
        <w:t xml:space="preserve"> </w:t>
      </w:r>
      <w:r>
        <w:rPr>
          <w:bCs/>
          <w:b/>
        </w:rPr>
        <w:t xml:space="preserve">Các bảng thống kê mô tả theo nhóm (§2.3.3–2.3.8)</w:t>
      </w:r>
      <w:r>
        <w:t xml:space="preserve"> </w:t>
      </w:r>
      <w:r>
        <w:t xml:space="preserve">vẫn hiển thị số theo</w:t>
      </w:r>
      <w:r>
        <w:t xml:space="preserve"> </w:t>
      </w:r>
      <w:r>
        <w:rPr>
          <w:bCs/>
          <w:b/>
        </w:rPr>
        <w:t xml:space="preserve">bản khóa mô tả trước</w:t>
      </w:r>
      <w:r>
        <w:t xml:space="preserve"> </w:t>
      </w:r>
      <w:r>
        <w:t xml:space="preserve">(47 nền/101.185 DN) để bảo toàn nhất quán nội bộ; chúng đang được tái tính trên khung 49 nền/91.982 bằng pipeline</w:t>
      </w:r>
      <w:r>
        <w:t xml:space="preserve"> </w:t>
      </w:r>
      <w:r>
        <w:rPr>
          <w:rStyle w:val="VerbatimChar"/>
        </w:rPr>
        <w:t xml:space="preserve">scripts/cd1_relock_descriptives.py</w:t>
      </w:r>
      <w:r>
        <w:t xml:space="preserve"> </w:t>
      </w:r>
      <w:r>
        <w:t xml:space="preserve">(đã kiểm chứng phương pháp) và sẽ cập nhật khi re-lock với dữ liệu thô còn thiếu. Phạm vi chính (40 nước) và Oman ở Nhóm II được đồng bộ ở đợt re-lock headline.</w:t>
      </w:r>
    </w:p>
    <w:p>
      <w:pPr>
        <w:pStyle w:val="FirstParagraph"/>
      </w:pPr>
      <w:r>
        <w:rPr>
          <w:bCs/>
          <w:b/>
        </w:rPr>
        <w:t xml:space="preserve">B. Trường hợp biên mở rộng —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n=14.171), Standardized (2013–2017, n=24.564), BREADY/BEE/EAP Core (2018–2025, n=62.450).</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 phạm vi rộng nhất trong văn liệu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 phát hiện lý thuyết mới chưa có trong văn liệu hiện hành. Tỷ số phân tán Singapore (1,03) so với Vùng Vịnh (0,49) ≈ 2,1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 mở rộng pattern từ 17 nước lên 47 nước. Phân tách Tier-1 (website nhị phân, đã bão hòa ở Advanced) và Tier-2 (tổng hợp đa thành phần, đang phát triển ở Emerging/Frontier).</w:t>
      </w:r>
    </w:p>
    <w:p>
      <w:pPr>
        <w:numPr>
          <w:ilvl w:val="0"/>
          <w:numId w:val="1006"/>
        </w:numPr>
      </w:pPr>
      <w:r>
        <w:rPr>
          <w:bCs/>
          <w:b/>
        </w:rPr>
        <w:t xml:space="preserve">Bằng chứng cho khung lý thuyết phi tuyến và điều tiết đa tầng</w:t>
      </w:r>
      <w:r>
        <w:t xml:space="preserve"> </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 bằng chứng cấp doanh nghiệp đầu tiên trong văn liệu kinh doanh quốc tế. Kiribati 2025 là trường hợp cực đoan nhất với FSTS 1,03%,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 7 hình); (c) phân tích hai biến.</w:t>
      </w:r>
    </w:p>
    <w:p>
      <w:pPr>
        <w:pStyle w:val="BodyText"/>
      </w:pPr>
      <w:r>
        <w:rPr>
          <w:bCs/>
          <w:b/>
        </w:rPr>
        <w:t xml:space="preserve">Nguồn dữ liệu</w:t>
      </w:r>
      <w:r>
        <w:t xml:space="preserve">: World Bank Enterprise Surveys (WBES) —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w:t>
      </w:r>
    </w:p>
    <w:p>
      <w:pPr>
        <w:numPr>
          <w:ilvl w:val="0"/>
          <w:numId w:val="1008"/>
        </w:numPr>
      </w:pPr>
      <w:r>
        <w:rPr>
          <w:bCs/>
          <w:b/>
        </w:rPr>
        <w:t xml:space="preserve">Biến DAI (Digital Adoption Index)</w:t>
      </w:r>
      <w:r>
        <w:t xml:space="preserve">: Spec 1 (toàn bộ 2009–2025): website nhị phân (c22b/e8) —</w:t>
      </w:r>
      <w:r>
        <w:t xml:space="preserve"> </w:t>
      </w:r>
      <w:r>
        <w:rPr>
          <w:bCs/>
          <w:b/>
        </w:rPr>
        <w:t xml:space="preserve">Tier-1 Sự hiện diện số cơ bản</w:t>
      </w:r>
      <w:r>
        <w:t xml:space="preserve">. Spec 2 (BREADY 2018+ trở lên): tổng hợp chuẩn hóa z website + cường độ thanh toán điện tử (k33/k38) —</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 PICS3/MENA-WBES (2009–2012, n=14.171): bảng hỏi PICS3 cho khu vực Đông Nam Á và Trung Á. Thế hệ 2 — Standardized (2013–2017, n=24.564): áp dụng đồng nhất xuyên toàn cầu từ 2013. Thế hệ 3 —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 chạy hồi quy với dữ liệu đến 2024, khóa hệ số, kiểm định ổn định với dữ liệu đầy đủ bằng Chow test; (3c) panel hậu đại dịch độc lập —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w:t>
      </w:r>
      <w:r>
        <w:t xml:space="preserve">— doanh thu, lợi nhuận, tỷ suất sinh lợi; và (b)</w:t>
      </w:r>
      <w:r>
        <w:t xml:space="preserve"> </w:t>
      </w:r>
      <w:r>
        <w:rPr>
          <w:bCs/>
          <w:b/>
        </w:rPr>
        <w:t xml:space="preserve">hiệu quả hoạt động rộng hơn</w:t>
      </w:r>
      <w:r>
        <w:t xml:space="preserve"> </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văn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 vốn không cung cấp giá cổ phiếu nên loại trừ nhóm (ii), và có dữ liệu lợi nhuận thưa thớt làm hạn chế nhóm (i) —</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w:t>
      </w:r>
      <w:r>
        <w:t xml:space="preserve">— đo bằng giá trị gia tăng trên lao động hoặc doanh thu trên lao động —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 chiều này mang tính hỗ trợ thay vì chủ đạo.</w:t>
      </w:r>
    </w:p>
    <w:p>
      <w:pPr>
        <w:pStyle w:val="BodyText"/>
      </w:pPr>
      <w:r>
        <w:rPr>
          <w:bCs/>
          <w:b/>
        </w:rPr>
        <w:t xml:space="preserve">Chiều 3 —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 quan trọng cho mục tiêu chính sách.</w:t>
      </w:r>
    </w:p>
    <w:p>
      <w:pPr>
        <w:pStyle w:val="BodyText"/>
      </w:pPr>
      <w:r>
        <w:rPr>
          <w:bCs/>
          <w:b/>
        </w:rPr>
        <w:t xml:space="preserve">Chiều 4 —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w:t>
      </w:r>
      <w:r>
        <w:t xml:space="preserve">— khả năng duy trì hiệu quả trong dài hạn qua đổi mới và nâng cấp công nghệ.</w:t>
      </w:r>
    </w:p>
    <w:bookmarkEnd w:id="35"/>
    <w:bookmarkStart w:id="36" w:name="X8ad5236bf72b29f6383edeb4ee3559473689f28"/>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 nhưng cần Tier-2 để phát huy đầy đủ.</w:t>
      </w:r>
    </w:p>
    <w:p>
      <w:pPr>
        <w:pStyle w:val="BodyText"/>
      </w:pPr>
      <w:r>
        <w:rPr>
          <w:bCs/>
          <w:b/>
        </w:rPr>
        <w:t xml:space="preserve">Khung 2 —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 Lý thuyết thể chế</w:t>
      </w:r>
      <w:r>
        <w:t xml:space="preserve"> </w:t>
      </w:r>
      <w:r>
        <w:t xml:space="preserve">(North, 1990; Scott, 1995; Peng, 2001, 2003): Thể chế — luật pháp, chuẩn mực, quy tắc phi chính thức —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 —</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 —</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 —</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 FDA)</w:t>
      </w:r>
      <w:r>
        <w:t xml:space="preserve">.</w:t>
      </w:r>
    </w:p>
    <w:p>
      <w:pPr>
        <w:pStyle w:val="BodyText"/>
      </w:pPr>
      <w:r>
        <w:rPr>
          <w:bCs/>
          <w:b/>
        </w:rPr>
        <w:t xml:space="preserve">Mô hình Năng lực số phụ thuộc bối cảnh (CDCM)</w:t>
      </w:r>
      <w:r>
        <w:t xml:space="preserve"> </w:t>
      </w:r>
      <w:r>
        <w:t xml:space="preserve">— hợp nhất bằng chứng Singapore và Việt Nam:</w:t>
      </w:r>
    </w:p>
    <w:p>
      <w:pPr>
        <w:pStyle w:val="BodyText"/>
      </w:pPr>
      <w:r>
        <w:rPr>
          <w:bCs/>
          <w:b/>
        </w:rPr>
        <w:t xml:space="preserve">(a) Hình dạng đường cong quốc tế hóa – hiệu quả</w:t>
      </w:r>
      <w:r>
        <w:t xml:space="preserve">: Việt Nam → U ngược, điểm uốn ≈ 39–46% FSTS; Singapore →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 nhất quán với diễn giải tại luận án Chương 4 §4.3.1).</w:t>
      </w:r>
    </w:p>
    <w:p>
      <w:pPr>
        <w:pStyle w:val="BodyText"/>
      </w:pPr>
      <w:r>
        <w:rPr>
          <w:bCs/>
          <w:b/>
        </w:rPr>
        <w:t xml:space="preserve">(b) Cơ chế DAI</w:t>
      </w:r>
      <w:r>
        <w:t xml:space="preserve">: Việt Nam (Tier 1 = website only) →</w:t>
      </w:r>
      <w:r>
        <w:t xml:space="preserve"> </w:t>
      </w:r>
      <w:r>
        <w:rPr>
          <w:bCs/>
          <w:b/>
        </w:rPr>
        <w:t xml:space="preserve">phụ thuộc giai đoạn</w:t>
      </w:r>
      <w:r>
        <w:t xml:space="preserve">: tương tác DAI×FSTS âm ở FSTS cao — Tier 1 trở thành điểm nghẽn. Singapore (Tier 1+2) →</w:t>
      </w:r>
      <w:r>
        <w:t xml:space="preserve"> </w:t>
      </w:r>
      <w:r>
        <w:rPr>
          <w:bCs/>
          <w:b/>
        </w:rPr>
        <w:t xml:space="preserve">mở rộng có điều kiện</w:t>
      </w:r>
      <w:r>
        <w:t xml:space="preserve">: tương tác DAI×FSTS² dương mạnh (β=3,119, p=0,005) — Tier 1+2 là đòn bẩy.</w:t>
      </w:r>
    </w:p>
    <w:p>
      <w:pPr>
        <w:pStyle w:val="BodyText"/>
      </w:pPr>
      <w:r>
        <w:rPr>
          <w:bCs/>
          <w:b/>
        </w:rPr>
        <w:t xml:space="preserve">(c) Vai trò TCI</w:t>
      </w:r>
      <w:r>
        <w:t xml:space="preserve">: Việt Nam —</w:t>
      </w:r>
      <w:r>
        <w:t xml:space="preserve"> </w:t>
      </w:r>
      <w:r>
        <w:rPr>
          <w:iCs/>
          <w:i/>
        </w:rPr>
        <w:t xml:space="preserve">lợi thế khan hiếm</w:t>
      </w:r>
      <w:r>
        <w:t xml:space="preserve"> </w:t>
      </w:r>
      <w:r>
        <w:t xml:space="preserve">(TCI z biến công cụ β=1,639, p&lt;0,001, ước lượng 2SLS vững). Singapore —</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 nhưng không có nghiên cứu nào thiết lập hệ thống phân loại thể chế toàn diện cho 47 nền kinh tế châu Á. Khung phân loại ICRV (Institutional Context Regime Variation — Biến thiên chế độ bối cảnh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 thể chế đổi mới sáng tạo, thể chế tài nguyên, thể chế chuyển đổi, thể chế MIRAB —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tc>
      </w:tr>
      <w:tr>
        <w:tc>
          <w:tcPr/>
          <w:p>
            <w:pPr>
              <w:pStyle w:val="Compact"/>
              <w:jc w:val="left"/>
            </w:pPr>
            <w:r>
              <w:rPr>
                <w:bCs/>
                <w:b/>
              </w:rPr>
              <w:t xml:space="preserve">Nhóm II — Advanced tài nguyên dẫn dắt</w:t>
            </w:r>
            <w:r>
              <w:t xml:space="preserve">: WGI Rule of Law trung bình (+0,00 → +0,50); GNI bình quân đầu người &gt;20.000 USD; GDP tăng trưởng dựa trên xuất khẩu tài nguyên thiên nhiên (dầu mỏ, khí đốt, khoáng sản). Bằng chứng WBES: FDI cao hướng khai thác tài nguyên, độ lệch chuẩn log năng suất thấp (~0,49 — đặc trưng nhà nước tô).</w:t>
            </w:r>
          </w:p>
        </w:tc>
      </w:tr>
      <w:tr>
        <w:tc>
          <w:tcPr/>
          <w:p>
            <w:pPr>
              <w:pStyle w:val="Compact"/>
              <w:jc w:val="left"/>
            </w:pPr>
            <w:r>
              <w:rPr>
                <w:bCs/>
                <w:b/>
              </w:rPr>
              <w:t xml:space="preserve">Nhóm III — Trung bình cao (Upper-middle)</w:t>
            </w:r>
            <w:r>
              <w:t xml:space="preserve">: WGI Rule of Law 0,00 → +0,80; GNI bình quân đầu người 5.000–20.000 USD; nền kinh tế chuyển đổi từ sản xuất sang dịch vụ, với R&amp;D đang tăng (đặc biệt Trung Quốc). Pattern WBES: FSTS sản xuất cao, R&amp;D tăng mạnh giai đoạn 2018–2025 (+21,5 điểm phần trăm).</w:t>
            </w:r>
          </w:p>
        </w:tc>
      </w:tr>
      <w:tr>
        <w:tc>
          <w:tcPr/>
          <w:p>
            <w:pPr>
              <w:pStyle w:val="Compact"/>
              <w:jc w:val="left"/>
            </w:pPr>
            <w:r>
              <w:rPr>
                <w:bCs/>
                <w:b/>
              </w:rPr>
              <w:t xml:space="preserve">Nhóm IV — Đang nổi (Emerging)</w:t>
            </w:r>
            <w:r>
              <w:t xml:space="preserve">: WGI Rule of Law -0,50 →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tc>
      </w:tr>
      <w:tr>
        <w:tc>
          <w:tcPr/>
          <w:p>
            <w:pPr>
              <w:pStyle w:val="Compact"/>
              <w:jc w:val="left"/>
            </w:pPr>
            <w:r>
              <w:rPr>
                <w:bCs/>
                <w:b/>
              </w:rPr>
              <w:t xml:space="preserve">Nhóm V —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tc>
      </w:tr>
      <w:tr>
        <w:tc>
          <w:tcPr/>
          <w:p>
            <w:pPr>
              <w:pStyle w:val="Compact"/>
              <w:jc w:val="left"/>
            </w:pPr>
            <w:r>
              <w:rPr>
                <w:bCs/>
                <w:b/>
              </w:rPr>
              <w:t xml:space="preserve">Nhóm VI —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 do MNE du lịch); đổi mới sản phẩm cao nhất (41,5% — đổi mới bằng nguồn lực hạn chế); website cao ngoại trừ Kiribati (18,7%).</w:t>
            </w:r>
          </w:p>
        </w:tc>
      </w:tr>
      <w:tr>
        <w:tc>
          <w:tcPr/>
          <w:p>
            <w:pPr>
              <w:pStyle w:val="Compact"/>
              <w:jc w:val="left"/>
            </w:pPr>
            <w:r>
              <w:t xml:space="preserve">#### 2.3.2.3 Danh sách 49 nền kinh tế theo nhóm ICRV (căn theo nhãn dữ liệu)</w:t>
            </w:r>
          </w:p>
        </w:tc>
      </w:tr>
      <w:tr>
        <w:tc>
          <w:tcPr/>
          <w:p>
            <w:pPr>
              <w:pStyle w:val="Compact"/>
              <w:jc w:val="left"/>
            </w:pPr>
            <w:r>
              <w:rPr>
                <w:bCs/>
                <w:b/>
              </w:rPr>
              <w:t xml:space="preserve">Bảng 2.3.2.1</w:t>
            </w:r>
            <w:r>
              <w:t xml:space="preserve">.</w:t>
            </w:r>
            <w:r>
              <w:t xml:space="preserve"> </w:t>
            </w:r>
            <w:r>
              <w:rPr>
                <w:iCs/>
                <w:i/>
              </w:rPr>
              <w:t xml:space="preserve">Phân loại 49 nền kinh tế vào 6 nhóm ICRV theo nhãn dữ liệu</w:t>
            </w:r>
            <w:r>
              <w:rPr>
                <w:iCs/>
                <w:i/>
              </w:rPr>
              <w:t xml:space="preserve"> </w:t>
            </w:r>
            <w:r>
              <w:rPr>
                <w:rStyle w:val="VerbatimChar"/>
                <w:iCs/>
                <w:i/>
              </w:rPr>
              <w:t xml:space="preserve">icrv_label</w:t>
            </w:r>
            <w:r>
              <w:rPr>
                <w:iCs/>
                <w:i/>
              </w:rPr>
              <w:t xml:space="preserve"> </w:t>
            </w:r>
            <w:r>
              <w:rPr>
                <w:iCs/>
                <w:i/>
              </w:rPr>
              <w:t xml:space="preserve">(P7) — đồng bộ với Chuyên đề 2 (Bảng 2.8).</w:t>
            </w:r>
          </w:p>
        </w:tc>
      </w:tr>
      <w:tr>
        <w:tc>
          <w:tcPr/>
          <w:p>
            <w:pPr>
              <w:pStyle w:val="Compact"/>
              <w:jc w:val="left"/>
            </w:pPr>
            <w:r>
              <w:t xml:space="preserve">| Nhóm ICRV (icrv_label) | Tên nhóm | Quốc gia | N doanh nghiệp |</w:t>
            </w:r>
            <w:r>
              <w:t xml:space="preserve"> </w:t>
            </w:r>
            <w:r>
              <w:t xml:space="preserve">|—|—|—|:–:|</w:t>
            </w:r>
            <w:r>
              <w:t xml:space="preserve"> </w:t>
            </w:r>
            <w:r>
              <w:t xml:space="preserve">|</w:t>
            </w:r>
            <w:r>
              <w:t xml:space="preserve"> </w:t>
            </w:r>
            <w:r>
              <w:rPr>
                <w:bCs/>
                <w:b/>
              </w:rPr>
              <w:t xml:space="preserve">I</w:t>
            </w:r>
            <w:r>
              <w:t xml:space="preserve"> </w:t>
            </w:r>
            <w:r>
              <w:t xml:space="preserve">—</w:t>
            </w:r>
            <w:r>
              <w:t xml:space="preserve"> </w:t>
            </w:r>
            <w:r>
              <w:rPr>
                <w:rStyle w:val="VerbatimChar"/>
              </w:rPr>
              <w:t xml:space="preserve">Advanced_innovation</w:t>
            </w:r>
            <w:r>
              <w:t xml:space="preserve"> </w:t>
            </w:r>
            <w:r>
              <w:t xml:space="preserve">| Advanced — đổi mới sáng tạo | Singapore, Hong Kong SAR, Hàn Quốc, Đài Loan, Israel | 4.222 |</w:t>
            </w:r>
            <w:r>
              <w:t xml:space="preserve"> </w:t>
            </w:r>
            <w:r>
              <w:t xml:space="preserve">|</w:t>
            </w:r>
            <w:r>
              <w:t xml:space="preserve"> </w:t>
            </w:r>
            <w:r>
              <w:rPr>
                <w:bCs/>
                <w:b/>
              </w:rPr>
              <w:t xml:space="preserve">II</w:t>
            </w:r>
            <w:r>
              <w:t xml:space="preserve"> </w:t>
            </w:r>
            <w:r>
              <w:t xml:space="preserve">—</w:t>
            </w:r>
            <w:r>
              <w:t xml:space="preserve"> </w:t>
            </w:r>
            <w:r>
              <w:rPr>
                <w:rStyle w:val="VerbatimChar"/>
              </w:rPr>
              <w:t xml:space="preserve">Advanced_resource</w:t>
            </w:r>
            <w:r>
              <w:t xml:space="preserve"> </w:t>
            </w:r>
            <w:r>
              <w:t xml:space="preserve">| Advanced — tài nguyên | Saudi Arabia, Qatar, Kuwait, Bahrain, Brunei, Oman | 2.269 |</w:t>
            </w:r>
            <w:r>
              <w:t xml:space="preserve"> </w:t>
            </w:r>
            <w:r>
              <w:t xml:space="preserve">|</w:t>
            </w:r>
            <w:r>
              <w:t xml:space="preserve"> </w:t>
            </w:r>
            <w:r>
              <w:rPr>
                <w:bCs/>
                <w:b/>
              </w:rPr>
              <w:t xml:space="preserve">III</w:t>
            </w:r>
            <w:r>
              <w:t xml:space="preserve"> </w:t>
            </w:r>
            <w:r>
              <w:t xml:space="preserve">—</w:t>
            </w:r>
            <w:r>
              <w:t xml:space="preserve"> </w:t>
            </w:r>
            <w:r>
              <w:rPr>
                <w:rStyle w:val="VerbatimChar"/>
              </w:rPr>
              <w:t xml:space="preserve">Upper_mid</w:t>
            </w:r>
            <w:r>
              <w:t xml:space="preserve"> </w:t>
            </w:r>
            <w:r>
              <w:t xml:space="preserve">| Trung bình cao | Trung Quốc, Malaysia, Thái Lan, Kazakhstan, Armenia, Georgia | 13.993 |</w:t>
            </w:r>
            <w:r>
              <w:t xml:space="preserve"> </w:t>
            </w:r>
            <w:r>
              <w:t xml:space="preserve">|</w:t>
            </w:r>
            <w:r>
              <w:t xml:space="preserve"> </w:t>
            </w:r>
            <w:r>
              <w:rPr>
                <w:bCs/>
                <w:b/>
              </w:rPr>
              <w:t xml:space="preserve">IV</w:t>
            </w:r>
            <w:r>
              <w:t xml:space="preserve"> </w:t>
            </w:r>
            <w:r>
              <w:t xml:space="preserve">—</w:t>
            </w:r>
            <w:r>
              <w:t xml:space="preserve"> </w:t>
            </w:r>
            <w:r>
              <w:rPr>
                <w:rStyle w:val="VerbatimChar"/>
              </w:rPr>
              <w:t xml:space="preserve">Lower_mid_transition</w:t>
            </w:r>
            <w:r>
              <w:t xml:space="preserve"> </w:t>
            </w:r>
            <w:r>
              <w:t xml:space="preserve">| Chuyển đổi thu nhập trung bình–thấp | Việt Nam, Ấn Độ, Indonesia, Philippines, Mông Cổ, Bangladesh, Pakistan | 50.926 |</w:t>
            </w:r>
            <w:r>
              <w:t xml:space="preserve"> </w:t>
            </w:r>
            <w:r>
              <w:t xml:space="preserve">|</w:t>
            </w:r>
            <w:r>
              <w:t xml:space="preserve"> </w:t>
            </w:r>
            <w:r>
              <w:rPr>
                <w:bCs/>
                <w:b/>
              </w:rPr>
              <w:t xml:space="preserve">V</w:t>
            </w:r>
            <w:r>
              <w:t xml:space="preserve"> </w:t>
            </w:r>
            <w:r>
              <w:t xml:space="preserve">—</w:t>
            </w:r>
            <w:r>
              <w:t xml:space="preserve"> </w:t>
            </w:r>
            <w:r>
              <w:rPr>
                <w:rStyle w:val="VerbatimChar"/>
              </w:rPr>
              <w:t xml:space="preserve">Emerging</w:t>
            </w:r>
            <w:r>
              <w:t xml:space="preserve"> </w:t>
            </w:r>
            <w:r>
              <w:t xml:space="preserve">| Đang nổi | Sri Lanka, Jordan, Lào, Campuchia, Myanmar, Nepal, Bhutan, Maldives, Uzbekistan, Tajikistan, Kyrgyzstan, Turkmenistan, Afghanistan, Azerbaijan, Iraq, Lebanon, Yemen (17 nước) | 18.569 |</w:t>
            </w:r>
            <w:r>
              <w:t xml:space="preserve"> </w:t>
            </w:r>
            <w:r>
              <w:t xml:space="preserve">|</w:t>
            </w:r>
            <w:r>
              <w:t xml:space="preserve"> </w:t>
            </w:r>
            <w:r>
              <w:rPr>
                <w:bCs/>
                <w:b/>
              </w:rPr>
              <w:t xml:space="preserve">VI</w:t>
            </w:r>
            <w:r>
              <w:t xml:space="preserve"> </w:t>
            </w:r>
            <w:r>
              <w:t xml:space="preserve">—</w:t>
            </w:r>
            <w:r>
              <w:t xml:space="preserve"> </w:t>
            </w:r>
            <w:r>
              <w:rPr>
                <w:rStyle w:val="VerbatimChar"/>
              </w:rPr>
              <w:t xml:space="preserve">SIDS_small</w:t>
            </w:r>
            <w:r>
              <w:t xml:space="preserve"> </w:t>
            </w:r>
            <w:r>
              <w:t xml:space="preserve">| SIDS (trường hợp biên) | Fiji, Kiribati, Papua New Guinea, Samoa, Solomon Islands, Tonga, Vanuatu, Timor-Leste | 1.885 |</w:t>
            </w:r>
            <w:r>
              <w:t xml:space="preserve"> </w:t>
            </w:r>
            <w:r>
              <w:t xml:space="preserve">|</w:t>
            </w:r>
            <w:r>
              <w:t xml:space="preserve"> </w:t>
            </w:r>
            <w:r>
              <w:rPr>
                <w:bCs/>
                <w:b/>
              </w:rPr>
              <w:t xml:space="preserve">Tổng</w:t>
            </w:r>
            <w:r>
              <w:t xml:space="preserve"> </w:t>
            </w:r>
            <w:r>
              <w:t xml:space="preserve">| |</w:t>
            </w:r>
            <w:r>
              <w:t xml:space="preserve"> </w:t>
            </w:r>
            <w:r>
              <w:rPr>
                <w:bCs/>
                <w:b/>
              </w:rPr>
              <w:t xml:space="preserve">49 nền kinh tế</w:t>
            </w:r>
            <w:r>
              <w:t xml:space="preserve"> </w:t>
            </w:r>
            <w:r>
              <w:t xml:space="preserve">|</w:t>
            </w:r>
            <w:r>
              <w:t xml:space="preserve"> </w:t>
            </w:r>
            <w:r>
              <w:rPr>
                <w:bCs/>
                <w:b/>
              </w:rPr>
              <w:t xml:space="preserve">91.864</w:t>
            </w:r>
            <w:r>
              <w:t xml:space="preserve"> </w:t>
            </w:r>
            <w:r>
              <w:t xml:space="preserve">(≈91.982 mẫu phân tích) |</w:t>
            </w:r>
          </w:p>
        </w:tc>
      </w:tr>
      <w:tr>
        <w:tc>
          <w:tcPr/>
          <w:p>
            <w:pPr>
              <w:pStyle w:val="Compact"/>
              <w:jc w:val="left"/>
            </w:pPr>
            <w:r>
              <w:rPr>
                <w:iCs/>
                <w:i/>
              </w:rPr>
              <w:t xml:space="preserve">Ghi chú: Bảng phân loại theo nhãn dữ liệu</w:t>
            </w:r>
            <w:r>
              <w:rPr>
                <w:iCs/>
                <w:i/>
              </w:rPr>
              <w:t xml:space="preserve"> </w:t>
            </w:r>
            <w:r>
              <w:rPr>
                <w:rStyle w:val="VerbatimChar"/>
                <w:iCs/>
                <w:i/>
              </w:rPr>
              <w:t xml:space="preserve">icrv_label</w:t>
            </w:r>
            <w:r>
              <w:rPr>
                <w:iCs/>
                <w:i/>
              </w:rPr>
              <w:t xml:space="preserve"> </w:t>
            </w:r>
            <w:r>
              <w:rPr>
                <w:iCs/>
                <w:i/>
              </w:rPr>
              <w:t xml:space="preserve">P7,</w:t>
            </w:r>
            <w:r>
              <w:rPr>
                <w:iCs/>
                <w:i/>
              </w:rPr>
              <w:t xml:space="preserve"> </w:t>
            </w:r>
            <w:r>
              <w:rPr>
                <w:bCs/>
                <w:b/>
                <w:iCs/>
                <w:i/>
              </w:rPr>
              <w:t xml:space="preserve">đồng bộ Chuyên đề 2 (Bảng 2.8)</w:t>
            </w:r>
            <w:r>
              <w:rPr>
                <w:iCs/>
                <w:i/>
              </w:rPr>
              <w:t xml:space="preserve">. Tên đã căn theo nhãn dữ liệu: Nhóm IV</w:t>
            </w:r>
            <w:r>
              <w:rPr>
                <w:iCs/>
                <w:i/>
              </w:rPr>
              <w:t xml:space="preserve"> </w:t>
            </w:r>
            <w:r>
              <w:rPr>
                <w:rStyle w:val="VerbatimChar"/>
                <w:iCs/>
                <w:i/>
              </w:rPr>
              <w:t xml:space="preserve">Lower_mid_transition</w:t>
            </w:r>
            <w:r>
              <w:rPr>
                <w:iCs/>
                <w:i/>
              </w:rPr>
              <w:t xml:space="preserve"> </w:t>
            </w:r>
            <w:r>
              <w:rPr>
                <w:iCs/>
                <w:i/>
              </w:rPr>
              <w:t xml:space="preserve">(7 nền đông dân) — bản CĐ trước gọi</w:t>
            </w:r>
            <w:r>
              <w:rPr>
                <w:iCs/>
                <w:i/>
              </w:rPr>
              <w:t xml:space="preserve"> </w:t>
            </w:r>
            <w:r>
              <w:rPr>
                <w:iCs/>
                <w:i/>
              </w:rPr>
              <w:t xml:space="preserve">“</w:t>
            </w:r>
            <w:r>
              <w:rPr>
                <w:iCs/>
                <w:i/>
              </w:rPr>
              <w:t xml:space="preserve">Đang nổi</w:t>
            </w:r>
            <w:r>
              <w:rPr>
                <w:iCs/>
                <w:i/>
              </w:rPr>
              <w:t xml:space="preserve">”</w:t>
            </w:r>
            <w:r>
              <w:rPr>
                <w:iCs/>
                <w:i/>
              </w:rPr>
              <w:t xml:space="preserve">; Nhóm V</w:t>
            </w:r>
            <w:r>
              <w:rPr>
                <w:iCs/>
                <w:i/>
              </w:rPr>
              <w:t xml:space="preserve"> </w:t>
            </w:r>
            <w:r>
              <w:rPr>
                <w:rStyle w:val="VerbatimChar"/>
                <w:iCs/>
                <w:i/>
              </w:rPr>
              <w:t xml:space="preserve">Emerging</w:t>
            </w:r>
            <w:r>
              <w:rPr>
                <w:iCs/>
                <w:i/>
              </w:rPr>
              <w:t xml:space="preserve"> </w:t>
            </w:r>
            <w:r>
              <w:rPr>
                <w:iCs/>
                <w:i/>
              </w:rPr>
              <w:t xml:space="preserve">(17 nền) — bản CĐ trước gọi</w:t>
            </w:r>
            <w:r>
              <w:rPr>
                <w:iCs/>
                <w:i/>
              </w:rPr>
              <w:t xml:space="preserve"> </w:t>
            </w:r>
            <w:r>
              <w:rPr>
                <w:iCs/>
                <w:i/>
              </w:rPr>
              <w:t xml:space="preserve">“</w:t>
            </w:r>
            <w:r>
              <w:rPr>
                <w:iCs/>
                <w:i/>
              </w:rPr>
              <w:t xml:space="preserve">Cận biên/Frontier</w:t>
            </w:r>
            <w:r>
              <w:rPr>
                <w:iCs/>
                <w:i/>
              </w:rPr>
              <w:t xml:space="preserve">”</w:t>
            </w:r>
            <w:r>
              <w:rPr>
                <w:iCs/>
                <w:i/>
              </w:rPr>
              <w:t xml:space="preserve"> </w:t>
            </w:r>
            <w:r>
              <w:rPr>
                <w:iCs/>
                <w:i/>
              </w:rPr>
              <w:t xml:space="preserve">(đã hoán đổi: Sri Lanka, Jordan → Nhóm V; Bangladesh, Pakistan → Nhóm IV). Pool phân loại đầy đủ = 96.415 DN/52 nền (gồm Comoros, Turkey, Cyprus ngoài châu Á — loại khỏi khung 49). SIDS: P8 mẫu chính 7 nền Pacific (pool 1.371); robustness 9 nền.</w:t>
            </w:r>
            <w:r>
              <w:rPr>
                <w:iCs/>
                <w:i/>
              </w:rPr>
              <w:t xml:space="preserve"> </w:t>
            </w:r>
            <w:r>
              <w:rPr>
                <w:bCs/>
                <w:b/>
                <w:iCs/>
                <w:i/>
              </w:rPr>
              <w:t xml:space="preserve">Lưu ý:</w:t>
            </w:r>
            <w:r>
              <w:rPr>
                <w:iCs/>
                <w:i/>
              </w:rPr>
              <w:t xml:space="preserve"> </w:t>
            </w:r>
            <w:r>
              <w:rPr>
                <w:iCs/>
                <w:i/>
              </w:rPr>
              <w:t xml:space="preserve">các bảng</w:t>
            </w:r>
            <w:r>
              <w:rPr>
                <w:iCs/>
                <w:i/>
              </w:rPr>
              <w:t xml:space="preserve"> </w:t>
            </w:r>
            <w:r>
              <w:rPr>
                <w:bCs/>
                <w:b/>
                <w:iCs/>
                <w:i/>
              </w:rPr>
              <w:t xml:space="preserve">thống kê mô tả</w:t>
            </w:r>
            <w:r>
              <w:rPr>
                <w:iCs/>
                <w:i/>
              </w:rPr>
              <w:t xml:space="preserve"> </w:t>
            </w:r>
            <w:r>
              <w:rPr>
                <w:iCs/>
                <w:i/>
              </w:rPr>
              <w:t xml:space="preserve">theo nhóm ở §2.3.3–2.3.8 (sd năng suất, R&amp;D/ISO/đổi mới, cấu trúc, tương quan) hiện còn hiển thị theo</w:t>
            </w:r>
            <w:r>
              <w:rPr>
                <w:iCs/>
                <w:i/>
              </w:rPr>
              <w:t xml:space="preserve"> </w:t>
            </w:r>
            <w:r>
              <w:rPr>
                <w:bCs/>
                <w:b/>
                <w:iCs/>
                <w:i/>
              </w:rPr>
              <w:t xml:space="preserve">bản khóa mô tả trước</w:t>
            </w:r>
            <w:r>
              <w:rPr>
                <w:iCs/>
                <w:i/>
              </w:rPr>
              <w:t xml:space="preserve"> </w:t>
            </w:r>
            <w:r>
              <w:rPr>
                <w:iCs/>
                <w:i/>
              </w:rPr>
              <w:t xml:space="preserve">(47 nền/101.185); chúng đang được tái tính trên khung 49 nền/91.982 bằng pipeline tái lập</w:t>
            </w:r>
            <w:r>
              <w:rPr>
                <w:iCs/>
                <w:i/>
              </w:rPr>
              <w:t xml:space="preserve"> </w:t>
            </w:r>
            <w:r>
              <w:rPr>
                <w:rStyle w:val="VerbatimChar"/>
                <w:iCs/>
                <w:i/>
              </w:rPr>
              <w:t xml:space="preserve">scripts/cd1_relock_descriptives.py</w:t>
            </w:r>
            <w:r>
              <w:rPr>
                <w:iCs/>
                <w:i/>
              </w:rPr>
              <w:t xml:space="preserve"> </w:t>
            </w:r>
            <w:r>
              <w:rPr>
                <w:iCs/>
                <w:i/>
              </w:rPr>
              <w:t xml:space="preserve">(đã kiểm chứng phương pháp) và sẽ cập nhật ở đợt re-lock dữ liệu.</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 Innovation | &gt;+0,80 | &gt;$30k | R&amp;D + dịch vụ tri thức | Trung bình (6–15%) | ~1,03 | U ngược nhẹ / tuyến tính dương; điểm uốn ~88,6% (SG) |</w:t>
            </w:r>
            <w:r>
              <w:t xml:space="preserve"> </w:t>
            </w:r>
            <w:r>
              <w:t xml:space="preserve">| II — Resource | +0,00→+0,50 | &gt;$20k | Xuất khẩu dầu/khí | Thấp (1–3%) | ~0,49 | Phi tuyến suy yếu; nhà nước tô phân phối lại |</w:t>
            </w:r>
            <w:r>
              <w:t xml:space="preserve"> </w:t>
            </w:r>
            <w:r>
              <w:t xml:space="preserve">| III — Upper-mid | 0,00→+0,80 | $5k–$20k | Sản xuất + chuyển đổi | Trung bình (8–12%) | ~1,29 | U ngược; điểm uốn ~47% |</w:t>
            </w:r>
            <w:r>
              <w:t xml:space="preserve"> </w:t>
            </w:r>
            <w:r>
              <w:t xml:space="preserve">| IV — Emerging | -0,50→0,00 | $1k–$5k | FDI-driven sản xuất | Biến động (7–23%) | ~1,24 | U ngược; điểm uốn 39–46% (VNM) — bẫy chuyển hướng nguồn lực |</w:t>
            </w:r>
            <w:r>
              <w:t xml:space="preserve"> </w:t>
            </w:r>
            <w:r>
              <w:t xml:space="preserve">| V — Frontier | &lt;-0,50 | &lt;$1k–$3k | Tự cấp + phi chính thức | Thấp–trung bình | ~1,36 | Yếu; voids thể chế → đổi mới bằng nguồn lực hạn chế |</w:t>
            </w:r>
            <w:r>
              <w:t xml:space="preserve"> </w:t>
            </w:r>
            <w:r>
              <w:t xml:space="preserve">| VI — SIDS | Đặc biệt | $1k–$8k | MIRAB + du lịch | Rất thấp (1–12%) | ~1,32 | Chi phí buộc phải quốc tế hóa —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 (2026 — VEFR, JABS, JFAR, MIR under review).</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 VEFR), gấp ~2,5 lần. Phân bố theo phân nhóm con ICRV: Emerging 47.803 (47%), Frontier 28.678 (28%), Upper-middle 16.693 (17%), Advanced 6.640 (7%),</w:t>
      </w:r>
      <w:r>
        <w:t xml:space="preserve"> </w:t>
      </w:r>
      <w:r>
        <w:rPr>
          <w:bCs/>
          <w:b/>
        </w:rPr>
        <w:t xml:space="preserve">SIDS 1.371 (1,4% —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 tỷ số phân tán Singapore (1,03) so với Vùng Vịnh (0,49) ≈</w:t>
      </w:r>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 0,86 sau khi bổ sung Vùng Vịnh — bằng chứng dị biệt nội bộ; (2) Frontier cao nhất —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 sáng tạo không chính thức để bù đắp cho thiếu hụt nguồn lực; website 58,9% vượt cả nhóm Emerging dù GNI thấp hơn đáng kể. Phân tách rõ TCI so với DAI — kế thừa Đỗ &amp; Phan (2026 — VEFR).</w:t>
      </w:r>
    </w:p>
    <w:bookmarkEnd w:id="46"/>
    <w:bookmarkStart w:id="47" w:name="Xf9def7853091997378673ae7720d7322a439a73"/>
    <w:p>
      <w:pPr>
        <w:pStyle w:val="Heading4"/>
      </w:pPr>
      <w:r>
        <w:t xml:space="preserve">2.3.4.3 Tái định hình Chỉ số áp dụng số —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 dị biệt nội bộ</w:t>
      </w:r>
    </w:p>
    <w:p>
      <w:pPr>
        <w:pStyle w:val="FirstParagraph"/>
      </w:pPr>
      <w:r>
        <w:rPr>
          <w:bCs/>
          <w:b/>
        </w:rPr>
        <w:t xml:space="preserve">Bảng 2.3.6.4</w:t>
      </w:r>
      <w:r>
        <w:t xml:space="preserve">.</w:t>
      </w:r>
      <w:r>
        <w:t xml:space="preserve"> </w:t>
      </w:r>
      <w:r>
        <w:rPr>
          <w:iCs/>
          <w:i/>
        </w:rPr>
        <w:t xml:space="preserve">Phân nhóm con Emerging —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 bao gồm Kiribati 2025 và Nepal 2025). Ghi chú: Nepal 2025 sử dụng BREADY Micro schema — FSTS</w:t>
      </w:r>
      <w:r>
        <w:t xml:space="preserve">, Website† và FDI/R&amp;D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 FSTS 1,03%, FDI 0,7%, website 18,7% —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 Chuyên đề 2 cần tách 2 phân nhóm con SIDS.</w:t>
      </w:r>
      <w:r>
        <w:t xml:space="preserve">; (8)</w:t>
      </w:r>
      <w:r>
        <w:t xml:space="preserve"> </w:t>
      </w:r>
      <w:r>
        <w:rPr>
          <w:bCs/>
          <w:b/>
        </w:rPr>
        <w:t xml:space="preserve">Nepal Frontier — BREADY Micro schema (n=1.740): 10% bán quốc tế, số hóa 22,6% (máy tính/tablet), sd log LP 1,15 —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 MIR under review):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 Tăng trưởng — Cộng đồng.</w:t>
      </w:r>
    </w:p>
    <w:p>
      <w:pPr>
        <w:pStyle w:val="BodyText"/>
      </w:pPr>
      <w:r>
        <w:t xml:space="preserve">Hệ sinh thái Singapore vận hành ở Tier 3–4 —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 ở nhà nước tô, cơ chế phân bổ sai là bảo hộ FDI chứ không phải thiếu hụt thể chế; (3) Kuwait Vision 2035 với R&amp;D 20,7% —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18d070c66c9c1e710d1010d38c650c342e9258f"/>
    <w:p>
      <w:pPr>
        <w:pStyle w:val="Heading4"/>
      </w:pPr>
      <w:r>
        <w:t xml:space="preserve">2.3.7.3 Việt Nam (n=2.958, 3 đợt khảo sát — mẫu phân tích P3) — cập nhật ADB Vietnam Outlook 2026</w:t>
      </w:r>
    </w:p>
    <w:p>
      <w:pPr>
        <w:pStyle w:val="FirstParagraph"/>
      </w:pPr>
      <w:r>
        <w:t xml:space="preserve">FSTS 23,2% → 17,9% → 16,1% (suy giảm theo thời gian); doanh nghiệp xuất khẩu 37,1% → 23,8%; ISO 17–23%; R&amp;D 6,1% (2023). Pattern</w:t>
      </w:r>
      <w:r>
        <w:t xml:space="preserve"> </w:t>
      </w:r>
      <w:r>
        <w:rPr>
          <w:bCs/>
          <w:b/>
        </w:rPr>
        <w:t xml:space="preserve">kinh tế hai tầng</w:t>
      </w:r>
      <w:r>
        <w:t xml:space="preserve"> </w:t>
      </w:r>
      <w:r>
        <w:t xml:space="preserve">— FDI hướng xuất khẩu hiệu quả cao đan xen với doanh nghiệp nội địa năng suất thấp (CIEM, 2023).</w:t>
      </w:r>
    </w:p>
    <w:p>
      <w:pPr>
        <w:pStyle w:val="BodyText"/>
      </w:pPr>
      <w:r>
        <w:rPr>
          <w:bCs/>
          <w:b/>
        </w:rPr>
        <w:t xml:space="preserve">Bối cảnh 2026 — ADB Vietnam Economic Outlook</w:t>
      </w:r>
      <w:r>
        <w:t xml:space="preserve">: Việt Nam dự phóng GDP</w:t>
      </w:r>
      <w:r>
        <w:t xml:space="preserve"> </w:t>
      </w:r>
      <w:r>
        <w:rPr>
          <w:bCs/>
          <w:b/>
        </w:rPr>
        <w:t xml:space="preserve">7,2% (2026) / 7,0% (2027)</w:t>
      </w:r>
      <w:r>
        <w:t xml:space="preserve"> </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trung-quốc-n4.559-mẫu-phân-tích-p5"/>
    <w:p>
      <w:pPr>
        <w:pStyle w:val="Heading4"/>
      </w:pPr>
      <w:r>
        <w:t xml:space="preserve">2.3.7.4 Trung Quốc (n=4.559 — mẫu phân tích P5)</w:t>
      </w:r>
    </w:p>
    <w:p>
      <w:pPr>
        <w:pStyle w:val="FirstParagraph"/>
      </w:pPr>
      <w:r>
        <w:t xml:space="preserve">FSTS 10,9% → 8,8%; FDI ≥10% chiếm 6,0%. Quan hệ FSTS – năng suất có dạng hàm bậc hai (U ngược) với điểm uốn ~47,5% (Đỗ &amp; Phan, 2026 — JFAR).</w:t>
      </w:r>
      <w:r>
        <w:t xml:space="preserve"> </w:t>
      </w:r>
      <w:r>
        <w:rPr>
          <w:bCs/>
          <w:b/>
        </w:rPr>
        <w:t xml:space="preserve">Rủi ro tập trung</w:t>
      </w:r>
      <w:r>
        <w:t xml:space="preserve">: Wang, Huang và Hong (2024 — IRFA) phân tích 80% mô hình rủi ro ngân hàng tại Trung Quốc phụ thuộc các nhà cung cấp công nghệ chi phối thị trường — cảnh báo cho lộ trình sản xuất thông minh.</w:t>
      </w:r>
    </w:p>
    <w:bookmarkEnd w:id="61"/>
    <w:bookmarkStart w:id="62" w:name="X899cb513c960898c1a25d20448f39c61b9b2c62"/>
    <w:p>
      <w:pPr>
        <w:pStyle w:val="Heading4"/>
      </w:pPr>
      <w:r>
        <w:t xml:space="preserve">2.3.7.5 Tổng hợp Emerging Asia (n=42.278) — trường hợp Ấn Độ</w:t>
      </w:r>
    </w:p>
    <w:p>
      <w:pPr>
        <w:pStyle w:val="FirstParagraph"/>
      </w:pPr>
      <w:r>
        <w:t xml:space="preserve">FSTS 7,6%; FDI ≥10% chiếm 4,4%; tỷ lệ doanh nghiệp R&amp;D dương 16%. Phân tán nội bộ lớn (độ lệch chuẩn log 2,18) — phản ánh dị biệt rộng xuyên 7 nước.</w:t>
      </w:r>
    </w:p>
    <w:p>
      <w:pPr>
        <w:pStyle w:val="BodyText"/>
      </w:pPr>
      <w:r>
        <w:rPr>
          <w:bCs/>
          <w:b/>
        </w:rPr>
        <w:t xml:space="preserve">Trường hợp Ấn Độ — lan tỏa công nghệ</w:t>
      </w:r>
      <w:r>
        <w:t xml:space="preserve">: Theo Sikdar &amp; Mukhopadhyay (2026 —</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 42,396 triệu USD (2012–2022); R&amp;D trì trệ ở 0,7% GDP.</w:t>
      </w:r>
    </w:p>
    <w:bookmarkEnd w:id="62"/>
    <w:bookmarkStart w:id="63" w:name="X7b66a270a9cf1e965c06d68bbffe282f59d2e9a"/>
    <w:p>
      <w:pPr>
        <w:pStyle w:val="Heading4"/>
      </w:pPr>
      <w:r>
        <w:t xml:space="preserve">2.3.7.6 Mông Cổ — từ lời nguyền tài nguyên đến khoáng sản thiết yếu (n=1.905)</w:t>
      </w:r>
    </w:p>
    <w:p>
      <w:pPr>
        <w:pStyle w:val="FirstParagraph"/>
      </w:pPr>
      <w:r>
        <w:t xml:space="preserve">FSTS đình trệ 4–6%; FDI ≥10% giảm</w:t>
      </w:r>
      <w:r>
        <w:t xml:space="preserve"> </w:t>
      </w:r>
      <w:r>
        <w:rPr>
          <w:bCs/>
          <w:b/>
        </w:rPr>
        <w:t xml:space="preserve">7,2% → 3,2%</w:t>
      </w:r>
      <w:r>
        <w:t xml:space="preserve">; website tăng 39% →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 2025)</w:t>
      </w:r>
      <w:r>
        <w:t xml:space="preserve">. FSTS 6,3%; FDI ≥10%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 ODA 30% GDP và remittances 25–40% GDP; (3) thanh niên thất nghiệp 15–30%; (4) lao động di chuyển —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2.958</w:t>
            </w:r>
          </w:p>
        </w:tc>
        <w:tc>
          <w:tcPr/>
          <w:p>
            <w:pPr>
              <w:pStyle w:val="Compact"/>
              <w:jc w:val="left"/>
            </w:pPr>
            <w:r>
              <w:t xml:space="preserve">4.559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(Hệ số tương quan Pearson — không áp dụng HC1; HC1 dành cho SE hồi quy ở CĐ2.)</w:t>
      </w:r>
    </w:p>
    <w:p>
      <w:pPr>
        <w:pStyle w:val="BodyText"/>
      </w:pPr>
      <w:r>
        <w:t xml:space="preserve">Sáu phát hiện chính: (1) FDI dương mạnh ở SIDS (+0,222) — FDI ngoại sinh là nguồn năng suất chủ đạo; (2) FDI âm tại Advanced (−0,113) — doanh nghiệp FDI không có lợi thế tại thị trường trưởng thành; (3) FSTS dương tại Advanced (+0,113) — xác nhận lý thuyết Uppsala; (4) TCI dương đồng đều SIDS và Advanced; (5) DAI âm tại Advanced (−0,129) — Nghịch lý bão hòa số; (6) Đảo dấu cross-regime — thể chế điều tiết chiều hướng cơ chế (Xu, 2024).</w:t>
      </w:r>
    </w:p>
    <w:p>
      <w:pPr>
        <w:pStyle w:val="BodyText"/>
      </w:pPr>
      <w:r>
        <w:rPr>
          <w:bCs/>
          <w:b/>
        </w:rPr>
        <w:t xml:space="preserve">Cảnh báo schema BREADY 2025</w:t>
      </w:r>
      <w:r>
        <w:t xml:space="preserve">: Bảng 2.3.8.1 có thể bị nhiễu hiệu ứng schema — cần kiểm chứng qua hệ thống phòng thủ ba tầng (§2.2) trước khi suy diễn nhân quả.</w:t>
      </w:r>
    </w:p>
    <w:bookmarkEnd w:id="67"/>
    <w:bookmarkStart w:id="68" w:name="X7a2cacb152e06bbc0cb3173c16d9e101bae83b4"/>
    <w:p>
      <w:pPr>
        <w:pStyle w:val="Heading4"/>
      </w:pPr>
      <w:r>
        <w:t xml:space="preserve">2.3.8.2 Pattern giới tính trong quản lý và sở hữu —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 quản lý dẫn đầu toàn cầu nhưng ownership ceiling thấp hơn management ceiling 7,7 điểm; (b) MENA bottleneck —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 từ chi phí đầu tư đến phần bù năng suất</w:t>
      </w:r>
    </w:p>
    <w:p>
      <w:pPr>
        <w:pStyle w:val="FirstParagraph"/>
      </w:pPr>
      <w:r>
        <w:t xml:space="preserve">Quan hệ giữa cường độ đầu tư số và năng suất có hình dạng phi tuyến —</w:t>
      </w:r>
      <w:r>
        <w:t xml:space="preserve"> </w:t>
      </w:r>
      <w:r>
        <w:rPr>
          <w:bCs/>
          <w:b/>
        </w:rPr>
        <w:t xml:space="preserve">đường cong U theo thời gian</w:t>
      </w:r>
      <w:r>
        <w:t xml:space="preserve"> </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 Upper-middle 1,29 ≈ Emerging 1,24 ≈ SIDS 1,32 → Frontier 1,36. Tỷ số P90/P10 leo từ 10,8 lần lên 39,6 lần. Pattern này</w:t>
      </w:r>
      <w:r>
        <w:t xml:space="preserve"> </w:t>
      </w:r>
      <w:r>
        <w:rPr>
          <w:bCs/>
          <w:b/>
        </w:rPr>
        <w:t xml:space="preserve">nhất quán với giả thuyết phân bổ sai nguồn lực</w:t>
      </w:r>
      <w:r>
        <w:t xml:space="preserve"> </w:t>
      </w:r>
      <w:r>
        <w:t xml:space="preserve">(Hsieh &amp; Klenow, 2009, 2014) —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Tỷ số phân tán Singapore (1,03) so với Vùng Vịnh (0,49) ≈</w:t>
      </w:r>
      <w:r>
        <w:t xml:space="preserve"> </w:t>
      </w:r>
      <w:r>
        <w:rPr>
          <w:bCs/>
          <w:b/>
        </w:rPr>
        <w:t xml:space="preserve">2,1 lần</w:t>
      </w:r>
      <w:r>
        <w:t xml:space="preserve"> </w:t>
      </w:r>
      <w:r>
        <w:t xml:space="preserve">— cần phân nhóm con Advanced trong Chuyên đề 2.</w:t>
      </w:r>
    </w:p>
    <w:p>
      <w:pPr>
        <w:pStyle w:val="BodyText"/>
      </w:pPr>
      <w:r>
        <w:rPr>
          <w:bCs/>
          <w:b/>
        </w:rPr>
        <w:t xml:space="preserve">(iii) Dị biệt nội bộ phân nhóm Emerging — 3 phân nhóm con</w:t>
      </w:r>
      <w:r>
        <w:t xml:space="preserve">: FDI dẫn dắt SEA (VNM+IDN+PHL, FSTS 13,2%) ≠ dân số lớn (IND+LKA+JOR, FSTS 7,2%) ≠ tài nguyên (MNG, FSTS 5,0%).</w:t>
      </w:r>
    </w:p>
    <w:p>
      <w:pPr>
        <w:pStyle w:val="BodyText"/>
      </w:pPr>
      <w:r>
        <w:rPr>
          <w:bCs/>
          <w:b/>
        </w:rPr>
        <w:t xml:space="preserve">(iv) SIDS Pacific — Kiribati 2025 là trường hợp biên cực đoan nhất</w:t>
      </w:r>
      <w:r>
        <w:t xml:space="preserve">: FSTS 1,03%, FDI 0,7%, website 18,7%, ISO 1,3% —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 xem kiểm định loại trừ ICT tại §2.3.4.3.</w:t>
      </w:r>
    </w:p>
    <w:p>
      <w:pPr>
        <w:pStyle w:val="BodyText"/>
      </w:pPr>
      <w:r>
        <w:rPr>
          <w:bCs/>
          <w:b/>
        </w:rPr>
        <w:t xml:space="preserve">(vii) Pattern phi tuyến FDI ≥10%</w:t>
      </w:r>
      <w:r>
        <w:t xml:space="preserve"> </w:t>
      </w:r>
      <w:r>
        <w:t xml:space="preserve">— dạng chữ U với cực tiểu Emerging (4,7%): Advanced 11,1% → Emerging 4,7% → SIDS 23,5%. Hai mô hình FDI: MNE hub (Advanced) và du lịch/viễn thông (SIDS).</w:t>
      </w:r>
    </w:p>
    <w:p>
      <w:pPr>
        <w:pStyle w:val="BodyText"/>
      </w:pPr>
      <w:r>
        <w:rPr>
          <w:bCs/>
          <w:b/>
        </w:rPr>
        <w:t xml:space="preserve">(viii) Đợt khảo sát 2025 —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p>
      <w:pPr>
        <w:pStyle w:val="BodyText"/>
      </w:pPr>
      <w:r>
        <w:rPr>
          <w:bCs/>
          <w:b/>
        </w:rPr>
        <w:t xml:space="preserve">Ánh xạ khoảng trống →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108 cặp quốc gia–năm</w:t>
            </w:r>
          </w:p>
        </w:tc>
      </w:tr>
      <w:tr>
        <w:tc>
          <w:tcPr/>
          <w:p>
            <w:pPr>
              <w:pStyle w:val="Compact"/>
              <w:jc w:val="left"/>
            </w:pPr>
            <w:r>
              <w:rPr>
                <w:bCs/>
                <w:b/>
              </w:rPr>
              <w:t xml:space="preserve">KT2</w:t>
            </w:r>
            <w:r>
              <w:t xml:space="preserve"> </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w:t>
            </w:r>
            <w:r>
              <w:t xml:space="preserve">— Nghịch lý bão hòa số chưa xác nhận nhân quả</w:t>
            </w:r>
          </w:p>
        </w:tc>
        <w:tc>
          <w:tcPr/>
          <w:p>
            <w:pPr>
              <w:pStyle w:val="Compact"/>
              <w:jc w:val="left"/>
            </w:pPr>
            <w:r>
              <w:t xml:space="preserve">Hệ số DAI âm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w:t>
            </w:r>
            <w:r>
              <w:t xml:space="preserve">— Dị biệt thời gian ba giai đoạn chưa tổng hợp</w:t>
            </w:r>
          </w:p>
        </w:tc>
        <w:tc>
          <w:tcPr/>
          <w:p>
            <w:pPr>
              <w:pStyle w:val="Compact"/>
              <w:jc w:val="left"/>
            </w:pPr>
            <w:r>
              <w:t xml:space="preserve">Vị trí điểm uốn và độ cong I–P có ổn định qua 2009–2025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72"/>
    <w:bookmarkStart w:id="73" w:name="hàm-ý-lý-thuyết"/>
    <w:p>
      <w:pPr>
        <w:pStyle w:val="Heading4"/>
      </w:pPr>
      <w:r>
        <w:t xml:space="preserve">2.3.9.3 Hàm ý lý thuyết</w:t>
      </w:r>
    </w:p>
    <w:p>
      <w:pPr>
        <w:pStyle w:val="FirstParagraph"/>
      </w:pPr>
      <w:r>
        <w:rPr>
          <w:bCs/>
          <w:b/>
        </w:rPr>
        <w:t xml:space="preserve">(1) Uppsala có điều kiện —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 biến giả Post_BREADY_2024, kiểm định ổn định mô hình neo, panel hậu đại dịch độc lập —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 Phi tuyến xuyên chế độ thể chế là quy luật</w:t>
      </w:r>
      <w:r>
        <w:t xml:space="preserve">: U ngược tại Emerging (Việt Nam điểm uốn 39–46%; Trung Quốc điểm uốn 47–49%); gần tuyến tính tại Advanced (Singapore điểm uốn 88,6%); chi phí buộc phải tại SIDS.</w:t>
      </w:r>
    </w:p>
    <w:p>
      <w:pPr>
        <w:pStyle w:val="BodyText"/>
      </w:pPr>
      <w:r>
        <w:rPr>
          <w:bCs/>
          <w:b/>
        </w:rPr>
        <w:t xml:space="preserve">KL2 — TCI là dịch chuyển mức phổ quát, DAI là khuếch đại phụ thuộc bối cảnh</w:t>
      </w:r>
      <w:r>
        <w:t xml:space="preserve">: TCI dương ở mọi nhóm; DAI đổi dấu theo nhóm ICRV — đây là nội hàm cốt lõi của CDCM.</w:t>
      </w:r>
    </w:p>
    <w:p>
      <w:pPr>
        <w:pStyle w:val="BodyText"/>
      </w:pPr>
      <w:r>
        <w:rPr>
          <w:bCs/>
          <w:b/>
        </w:rPr>
        <w:t xml:space="preserve">KL3 —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 bối cảnh khác biệt quá lớn).</w:t>
      </w:r>
    </w:p>
    <w:p>
      <w:pPr>
        <w:pStyle w:val="BodyText"/>
      </w:pPr>
      <w:r>
        <w:rPr>
          <w:bCs/>
          <w:b/>
        </w:rPr>
        <w:t xml:space="preserve">(6) Chính sách số hóa phân cấp theo vùng và quy mô</w:t>
      </w:r>
      <w:r>
        <w:t xml:space="preserve">: Hiệu ứng DAI phụ thuộc bối cảnh — đầu tư website khác nhau tại TP.HCM (Tier-1.5) so với nông thôn đồng bằng sông Cửu Long (Tier-1 chưa bão hòa).</w:t>
      </w:r>
    </w:p>
    <w:p>
      <w:pPr>
        <w:pStyle w:val="BodyText"/>
      </w:pPr>
      <w:r>
        <w:rPr>
          <w:bCs/>
          <w:b/>
        </w:rPr>
        <w:t xml:space="preserve">(7) Hợp tác lao động di chuyển Pacific cho Việt Nam — bài học PLMS/RSE</w:t>
      </w:r>
      <w:r>
        <w:t xml:space="preserve">:</w:t>
      </w:r>
      <w:r>
        <w:t xml:space="preserve"> </w:t>
      </w:r>
      <w:r>
        <w:t xml:space="preserve">(a)</w:t>
      </w:r>
      <w:r>
        <w:t xml:space="preserve"> </w:t>
      </w:r>
      <w:r>
        <w:rPr>
          <w:bCs/>
          <w:b/>
        </w:rPr>
        <w:t xml:space="preserve">PLMS Úc</w:t>
      </w:r>
      <w:r>
        <w:t xml:space="preserve">: Học mô hình 30.000 lao động PICs/năm →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 không phù hợp để sao chép trực tiếp;</w:t>
      </w:r>
      <w:r>
        <w:t xml:space="preserve"> </w:t>
      </w:r>
      <w:r>
        <w:t xml:space="preserve">(b) Nhật Bản 60% doanh nghiệp AI back-office (Tier-2) —</w:t>
      </w:r>
      <w:r>
        <w:t xml:space="preserve"> </w:t>
      </w:r>
      <w:r>
        <w:rPr>
          <w:bCs/>
          <w:b/>
        </w:rPr>
        <w:t xml:space="preserve">mục tiêu thực tế 2026–2030</w:t>
      </w:r>
      <w:r>
        <w:t xml:space="preserve">;</w:t>
      </w:r>
      <w:r>
        <w:t xml:space="preserve"> </w:t>
      </w:r>
      <w:r>
        <w:t xml:space="preserve">(c) Trung Quốc sản xuất thông minh (Tier-2/3) — học điểm tích cực, tránh rủi ro tập trung;</w:t>
      </w:r>
      <w:r>
        <w:t xml:space="preserve"> </w:t>
      </w:r>
      <w:r>
        <w:t xml:space="preserve">(d)</w:t>
      </w:r>
      <w:r>
        <w:t xml:space="preserve"> </w:t>
      </w:r>
      <w:r>
        <w:rPr>
          <w:bCs/>
          <w:b/>
        </w:rPr>
        <w:t xml:space="preserve">Mô hình ưu tiên Việt Nam Tier-1.5</w:t>
      </w:r>
      <w:r>
        <w:t xml:space="preserve">: VietQR (100% miễn phí) → Thương mại xã hội → Xuyên biên giới Shopee/Amazon →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 Advanced đổi mới sáng tạo</w:t>
            </w:r>
          </w:p>
        </w:tc>
        <w:tc>
          <w:tcPr/>
          <w:p>
            <w:pPr>
              <w:pStyle w:val="Compact"/>
              <w:jc w:val="left"/>
            </w:pPr>
            <w:r>
              <w:t xml:space="preserve">Singapore, Hong Kong SAR, Hàn Quốc, Đài Loan, Israel</w:t>
            </w:r>
          </w:p>
        </w:tc>
        <w:tc>
          <w:tcPr/>
          <w:p>
            <w:pPr>
              <w:pStyle w:val="Compact"/>
              <w:jc w:val="left"/>
            </w:pPr>
            <w:r>
              <w:t xml:space="preserve">~4.220</w:t>
            </w:r>
          </w:p>
        </w:tc>
        <w:tc>
          <w:tcPr/>
          <w:p>
            <w:pPr>
              <w:pStyle w:val="Compact"/>
              <w:jc w:val="left"/>
            </w:pPr>
            <w:r>
              <w:t xml:space="preserve">2009–2025</w:t>
            </w:r>
          </w:p>
        </w:tc>
      </w:tr>
      <w:tr>
        <w:tc>
          <w:tcPr/>
          <w:p>
            <w:pPr>
              <w:pStyle w:val="Compact"/>
              <w:jc w:val="left"/>
            </w:pPr>
            <w:r>
              <w:rPr>
                <w:bCs/>
                <w:b/>
              </w:rPr>
              <w:t xml:space="preserve">Nhóm II — Advanced tài nguyên</w:t>
            </w:r>
          </w:p>
        </w:tc>
        <w:tc>
          <w:tcPr/>
          <w:p>
            <w:pPr>
              <w:pStyle w:val="Compact"/>
              <w:jc w:val="left"/>
            </w:pPr>
            <w:r>
              <w:t xml:space="preserve">Saudi Arabia, Qatar, Kuwait, Bahrain, Brunei</w:t>
            </w:r>
          </w:p>
        </w:tc>
        <w:tc>
          <w:tcPr/>
          <w:p>
            <w:pPr>
              <w:pStyle w:val="Compact"/>
              <w:jc w:val="left"/>
            </w:pPr>
            <w:r>
              <w:t xml:space="preserve">~1.932</w:t>
            </w:r>
          </w:p>
        </w:tc>
        <w:tc>
          <w:tcPr/>
          <w:p>
            <w:pPr>
              <w:pStyle w:val="Compact"/>
              <w:jc w:val="left"/>
            </w:pPr>
            <w:r>
              <w:t xml:space="preserve">2013–2025</w:t>
            </w:r>
          </w:p>
        </w:tc>
      </w:tr>
      <w:tr>
        <w:tc>
          <w:tcPr/>
          <w:p>
            <w:pPr>
              <w:pStyle w:val="Compact"/>
              <w:jc w:val="left"/>
            </w:pPr>
            <w:r>
              <w:rPr>
                <w:bCs/>
                <w:b/>
              </w:rPr>
              <w:t xml:space="preserve">Nhóm III — Upper-middle chuyển đổi</w:t>
            </w:r>
          </w:p>
        </w:tc>
        <w:tc>
          <w:tcPr/>
          <w:p>
            <w:pPr>
              <w:pStyle w:val="Compact"/>
              <w:jc w:val="left"/>
            </w:pPr>
            <w:r>
              <w:t xml:space="preserve">Trung Quốc, Malaysia, Thái Lan, Kazakhstan, Armenia, Georgia</w:t>
            </w:r>
          </w:p>
        </w:tc>
        <w:tc>
          <w:tcPr/>
          <w:p>
            <w:pPr>
              <w:pStyle w:val="Compact"/>
              <w:jc w:val="left"/>
            </w:pPr>
            <w:r>
              <w:t xml:space="preserve">~16.693</w:t>
            </w:r>
          </w:p>
        </w:tc>
        <w:tc>
          <w:tcPr/>
          <w:p>
            <w:pPr>
              <w:pStyle w:val="Compact"/>
              <w:jc w:val="left"/>
            </w:pPr>
            <w:r>
              <w:t xml:space="preserve">2009–2023</w:t>
            </w:r>
          </w:p>
        </w:tc>
      </w:tr>
      <w:tr>
        <w:tc>
          <w:tcPr/>
          <w:p>
            <w:pPr>
              <w:pStyle w:val="Compact"/>
              <w:jc w:val="left"/>
            </w:pPr>
            <w:r>
              <w:rPr>
                <w:bCs/>
                <w:b/>
              </w:rPr>
              <w:t xml:space="preserve">Nhóm IV — Emerging chế tạo</w:t>
            </w:r>
          </w:p>
        </w:tc>
        <w:tc>
          <w:tcPr/>
          <w:p>
            <w:pPr>
              <w:pStyle w:val="Compact"/>
              <w:jc w:val="left"/>
            </w:pPr>
            <w:r>
              <w:t xml:space="preserve">Việt Nam, Indonesia, Philippines, Ấn Độ, Sri Lanka, Jordan, Mông Cổ</w:t>
            </w:r>
          </w:p>
        </w:tc>
        <w:tc>
          <w:tcPr/>
          <w:p>
            <w:pPr>
              <w:pStyle w:val="Compact"/>
              <w:jc w:val="left"/>
            </w:pPr>
            <w:r>
              <w:t xml:space="preserve">~47.803</w:t>
            </w:r>
          </w:p>
        </w:tc>
        <w:tc>
          <w:tcPr/>
          <w:p>
            <w:pPr>
              <w:pStyle w:val="Compact"/>
              <w:jc w:val="left"/>
            </w:pPr>
            <w:r>
              <w:t xml:space="preserve">2009–2025</w:t>
            </w:r>
          </w:p>
        </w:tc>
      </w:tr>
      <w:tr>
        <w:tc>
          <w:tcPr/>
          <w:p>
            <w:pPr>
              <w:pStyle w:val="Compact"/>
              <w:jc w:val="left"/>
            </w:pPr>
            <w:r>
              <w:rPr>
                <w:bCs/>
                <w:b/>
              </w:rPr>
              <w:t xml:space="preserve">Nhóm V —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~28.678</w:t>
            </w:r>
          </w:p>
        </w:tc>
        <w:tc>
          <w:tcPr/>
          <w:p>
            <w:pPr>
              <w:pStyle w:val="Compact"/>
              <w:jc w:val="left"/>
            </w:pPr>
            <w:r>
              <w:t xml:space="preserve">2009–2025</w:t>
            </w:r>
          </w:p>
        </w:tc>
      </w:tr>
      <w:tr>
        <w:tc>
          <w:tcPr/>
          <w:p>
            <w:pPr>
              <w:pStyle w:val="Compact"/>
              <w:jc w:val="left"/>
            </w:pPr>
            <w:r>
              <w:rPr>
                <w:bCs/>
                <w:b/>
              </w:rPr>
              <w:t xml:space="preserve">Nhóm VI — SIDS Pacific</w:t>
            </w:r>
          </w:p>
        </w:tc>
        <w:tc>
          <w:tcPr/>
          <w:p>
            <w:pPr>
              <w:pStyle w:val="Compact"/>
              <w:jc w:val="left"/>
            </w:pPr>
            <w:r>
              <w:t xml:space="preserve">Fiji, Papua New Guinea, Solomon Islands, Tonga, Vanuatu, Samoa, Kiribati</w:t>
            </w:r>
          </w:p>
        </w:tc>
        <w:tc>
          <w:tcPr/>
          <w:p>
            <w:pPr>
              <w:pStyle w:val="Compact"/>
              <w:jc w:val="left"/>
            </w:pPr>
            <w:r>
              <w:t xml:space="preserve">~1.371</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(đồng bộ với Bảng 2.3.2.1 thân bài) do hài hòa hóa loại quan sát thiếu biến phụ thuộc; phân bổ analytic chính xác tại Bảng 2.3.3.1. Bản khóa CĐ1 = 101.185/47 nền; luận án dùng bản cập nhật 96.415/52 nền phân loại (mẫu phân tích 49 nền/91.982) — sẽ re-lock đầy đủ khi có raw WBES 43 nền còn thiếu.</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 Phiên bản nộp (12/05/2026)</w:t>
      </w:r>
      <w:r>
        <w:t xml:space="preserve"> </w:t>
      </w:r>
      <w:r>
        <w:rPr>
          <w:iCs/>
          <w:i/>
        </w:rPr>
        <w:t xml:space="preserve">Nghiên cứu sinh: Đỗ Thùy Hương — Trường Đại học Kỹ thuật Công nghệ Vĩnh Long (VLUTE)</w:t>
      </w:r>
      <w:r>
        <w:t xml:space="preserve"> </w:t>
      </w:r>
      <w:r>
        <w:rPr>
          <w:iCs/>
          <w:i/>
        </w:rPr>
        <w:t xml:space="preserve">Người hướng dẫn: TS. Nguyễn Minh Cảnh — Trường Kinh tế, Đại học Cần Thơ (CTU)</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2026-06-11T11:10:22Z</dcterms:created>
  <dcterms:modified xsi:type="dcterms:W3CDTF">2026-06-11T11:10:22Z</dcterms:modified>
</cp:coreProperties>
</file>

<file path=docProps/custom.xml><?xml version="1.0" encoding="utf-8"?>
<Properties xmlns="http://schemas.openxmlformats.org/officeDocument/2006/custom-properties" xmlns:vt="http://schemas.openxmlformats.org/officeDocument/2006/docPropsVTypes"/>
</file>