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30a5d565e97ac8c5d9288fe10774a24685f0535"/>
    <w:p>
      <w:pPr>
        <w:pStyle w:val="Heading1"/>
      </w:pPr>
      <w:r>
        <w:t xml:space="preserve">THÔNG TIN VỀ NHỮNG ĐÓNG GÓP MỚI VỀ MẶT HỌC THUẬT, LÝ LUẬN CỦA LUẬN ÁN</w:t>
      </w:r>
    </w:p>
    <w:p>
      <w:pPr>
        <w:pStyle w:val="FirstParagraph"/>
      </w:pPr>
      <w:r>
        <w:rPr>
          <w:bCs/>
          <w:b/>
        </w:rPr>
        <w:t xml:space="preserve">Tên luận án:</w:t>
      </w:r>
      <w:r>
        <w:t xml:space="preserve"> </w:t>
      </w:r>
      <w:r>
        <w:t xml:space="preserve">Quốc tế hóa và hiệu quả hoạt động kinh doanh của các doanh nghiệp ở châu Á</w:t>
      </w:r>
    </w:p>
    <w:p>
      <w:pPr>
        <w:pStyle w:val="BodyText"/>
      </w:pPr>
      <w:r>
        <w:rPr>
          <w:bCs/>
          <w:b/>
        </w:rPr>
        <w:t xml:space="preserve">Chuyên ngành:</w:t>
      </w:r>
      <w:r>
        <w:t xml:space="preserve"> </w:t>
      </w:r>
      <w:r>
        <w:t xml:space="preserve">Quản trị kinh doanh —</w:t>
      </w:r>
      <w:r>
        <w:t xml:space="preserve"> </w:t>
      </w:r>
      <w:r>
        <w:rPr>
          <w:bCs/>
          <w:b/>
        </w:rPr>
        <w:t xml:space="preserve">Mã số:</w:t>
      </w:r>
      <w:r>
        <w:t xml:space="preserve"> </w:t>
      </w:r>
      <w:r>
        <w:t xml:space="preserve">9340101</w:t>
      </w:r>
    </w:p>
    <w:p>
      <w:pPr>
        <w:pStyle w:val="BodyText"/>
      </w:pPr>
      <w:r>
        <w:rPr>
          <w:bCs/>
          <w:b/>
        </w:rPr>
        <w:t xml:space="preserve">Nghiên cứu sinh:</w:t>
      </w:r>
      <w:r>
        <w:t xml:space="preserve"> </w:t>
      </w:r>
      <w:r>
        <w:t xml:space="preserve">Đỗ Thùy Hương</w:t>
      </w:r>
    </w:p>
    <w:p>
      <w:pPr>
        <w:pStyle w:val="BodyText"/>
      </w:pPr>
      <w:r>
        <w:rPr>
          <w:bCs/>
          <w:b/>
        </w:rPr>
        <w:t xml:space="preserve">Người hướng dẫn khoa học:</w:t>
      </w:r>
      <w:r>
        <w:t xml:space="preserve"> </w:t>
      </w:r>
      <w:r>
        <w:t xml:space="preserve">PGS.TS. Phan Anh Tú</w:t>
      </w:r>
    </w:p>
    <w:p>
      <w:pPr>
        <w:pStyle w:val="BodyText"/>
      </w:pPr>
      <w:r>
        <w:rPr>
          <w:bCs/>
          <w:b/>
        </w:rPr>
        <w:t xml:space="preserve">Cơ sở đào tạo:</w:t>
      </w:r>
      <w:r>
        <w:t xml:space="preserve"> </w:t>
      </w:r>
      <w:r>
        <w:t xml:space="preserve">Trường Đại học Cần Thơ</w:t>
      </w:r>
    </w:p>
    <w:bookmarkStart w:id="20" w:name="những-đóng-góp-mới-của-luận-án"/>
    <w:p>
      <w:pPr>
        <w:pStyle w:val="Heading2"/>
      </w:pPr>
      <w:r>
        <w:t xml:space="preserve">Những đóng góp mới của luận án</w:t>
      </w:r>
    </w:p>
    <w:p>
      <w:pPr>
        <w:numPr>
          <w:ilvl w:val="0"/>
          <w:numId w:val="1001"/>
        </w:numPr>
      </w:pPr>
      <w:r>
        <w:rPr>
          <w:bCs/>
          <w:b/>
        </w:rPr>
        <w:t xml:space="preserve">Khung lý thuyết tích hợp đa tầng (CDCM).</w:t>
      </w:r>
      <w:r>
        <w:t xml:space="preserve"> </w:t>
      </w:r>
      <w:r>
        <w:t xml:space="preserve">Luận án đề xuất khung</w:t>
      </w:r>
      <w:r>
        <w:t xml:space="preserve"> </w:t>
      </w:r>
      <w:r>
        <w:rPr>
          <w:iCs/>
          <w:i/>
        </w:rPr>
        <w:t xml:space="preserve">Điều tiết theo Quốc gia – Số hóa – Năng lực</w:t>
      </w:r>
      <w:r>
        <w:t xml:space="preserve"> </w:t>
      </w:r>
      <w:r>
        <w:t xml:space="preserve">(Country–Digital–Capability Moderation), kết hợp bốn lý thuyết kinh điển (mô hình Uppsala, lý thuyết dựa trên nguồn lực, lý thuyết thể chế, lý thuyết thượng tầng quản trị) với lăng kính năng lực số thành một kiến trúc lý thuyết thống nhất và có khả năng kiểm định. Đây là khung tích hợp đầy đủ ba tầng điều tiết đầu tiên được xây dựng có hệ thống cho bối cảnh châu Á.</w:t>
      </w:r>
    </w:p>
    <w:p>
      <w:pPr>
        <w:numPr>
          <w:ilvl w:val="0"/>
          <w:numId w:val="1001"/>
        </w:numPr>
      </w:pPr>
      <w:r>
        <w:rPr>
          <w:bCs/>
          <w:b/>
        </w:rPr>
        <w:t xml:space="preserve">Phân tách hai cấu trúc năng lực số.</w:t>
      </w:r>
      <w:r>
        <w:t xml:space="preserve"> </w:t>
      </w:r>
      <w:r>
        <w:t xml:space="preserve">Luận án tách chỉ số năng lực công nghệ (TCI) và chỉ số chấp nhận số (DAI) thành hai cấu trúc không trùng lặp và kiểm định chúng riêng biệt trong cùng một mô hình, làm rõ TCI là</w:t>
      </w:r>
      <w:r>
        <w:t xml:space="preserve"> </w:t>
      </w:r>
      <w:r>
        <w:rPr>
          <w:iCs/>
          <w:i/>
        </w:rPr>
        <w:t xml:space="preserve">năng lực nền tảng</w:t>
      </w:r>
      <w:r>
        <w:t xml:space="preserve"> </w:t>
      </w:r>
      <w:r>
        <w:t xml:space="preserve">nâng mặt bằng đồng nhất, còn DAI là</w:t>
      </w:r>
      <w:r>
        <w:t xml:space="preserve"> </w:t>
      </w:r>
      <w:r>
        <w:rPr>
          <w:iCs/>
          <w:i/>
        </w:rPr>
        <w:t xml:space="preserve">nguồn lực tình huống</w:t>
      </w:r>
      <w:r>
        <w:t xml:space="preserve"> </w:t>
      </w:r>
      <w:r>
        <w:t xml:space="preserve">chỉ phát huy trong những bối cảnh nhất định.</w:t>
      </w:r>
    </w:p>
    <w:p>
      <w:pPr>
        <w:numPr>
          <w:ilvl w:val="0"/>
          <w:numId w:val="1001"/>
        </w:numPr>
      </w:pPr>
      <w:r>
        <w:rPr>
          <w:bCs/>
          <w:b/>
        </w:rPr>
        <w:t xml:space="preserve">Hệ phân loại thể chế ICRV sáu chế độ.</w:t>
      </w:r>
      <w:r>
        <w:t xml:space="preserve"> </w:t>
      </w:r>
      <w:r>
        <w:t xml:space="preserve">Luận án phát triển và áp dụng khung phân loại</w:t>
      </w:r>
      <w:r>
        <w:t xml:space="preserve"> </w:t>
      </w:r>
      <w:r>
        <w:rPr>
          <w:iCs/>
          <w:i/>
        </w:rPr>
        <w:t xml:space="preserve">Biến thiên Chế độ Bối cảnh Thể chế</w:t>
      </w:r>
      <w:r>
        <w:t xml:space="preserve"> </w:t>
      </w:r>
      <w:r>
        <w:t xml:space="preserve">(ICRV) với sáu chế độ con cho 50 nền kinh tế châu Á và Thái Bình Dương, bao gồm bảy nền kinh tế đảo nhỏ Thái Bình Dương như trường hợp ranh giới cực đoan — mức độ phân giải thể chế chưa từng có trong nghiên cứu thực nghiệm về quan hệ quốc tế hóa và hiệu quả tại châu Á.</w:t>
      </w:r>
    </w:p>
    <w:p>
      <w:pPr>
        <w:numPr>
          <w:ilvl w:val="0"/>
          <w:numId w:val="1001"/>
        </w:numPr>
      </w:pPr>
      <w:r>
        <w:rPr>
          <w:bCs/>
          <w:b/>
        </w:rPr>
        <w:t xml:space="preserve">Cơ sở dữ liệu đa quốc gia lớn nhất ghi nhận được cho khu vực.</w:t>
      </w:r>
      <w:r>
        <w:t xml:space="preserve"> </w:t>
      </w:r>
      <w:r>
        <w:t xml:space="preserve">Mẫu gộp gồm 88.869 doanh nghiệp từ 50 nền kinh tế châu Á và Thái Bình Dương (mẫu hồi quy chính N = 81.022), mở rộng đáng kể so với các nền tảng dữ liệu đa quốc gia hiện có cho quan hệ quốc tế hóa và hiệu quả tại châu Á.</w:t>
      </w:r>
    </w:p>
    <w:p>
      <w:pPr>
        <w:numPr>
          <w:ilvl w:val="0"/>
          <w:numId w:val="1001"/>
        </w:numPr>
      </w:pPr>
      <w:r>
        <w:rPr>
          <w:bCs/>
          <w:b/>
        </w:rPr>
        <w:t xml:space="preserve">Bằng chứng về tính ổn định theo thời gian của điểm uốn.</w:t>
      </w:r>
      <w:r>
        <w:t xml:space="preserve"> </w:t>
      </w:r>
      <w:r>
        <w:t xml:space="preserve">Luận án kiểm định tính bền vững của cấu trúc phi tuyến tại Trung Quốc và cho thấy điểm uốn trong quan hệ quốc tế hóa và hiệu quả tương đối ổn định qua hơn một thập kỷ chuyển đổi số (≈ 48,78% FSTS), bất chấp những thay đổi lớn của bối cảnh kinh tế.</w:t>
      </w:r>
    </w:p>
    <w:p>
      <w:pPr>
        <w:numPr>
          <w:ilvl w:val="0"/>
          <w:numId w:val="1001"/>
        </w:numPr>
      </w:pPr>
      <w:r>
        <w:rPr>
          <w:bCs/>
          <w:b/>
        </w:rPr>
        <w:t xml:space="preserve">Đề xuất và định danh khái niệm Gánh nặng quốc tế hóa bắt buộc (FIP).</w:t>
      </w:r>
      <w:r>
        <w:t xml:space="preserve"> </w:t>
      </w:r>
      <w:r>
        <w:t xml:space="preserve">Luận án đề xuất một điều kiện biên lý thuyết của mô hình chữ U ngược, trong đó quan hệ quốc tế hóa và hiệu quả chuyển sang âm đơn điệu khi ba điều kiện cấu trúc bị vi phạm đồng thời — một cấu trúc chưa được định danh trong tài liệu kinh doanh quốc tế.</w:t>
      </w:r>
    </w:p>
    <w:p>
      <w:pPr>
        <w:pStyle w:val="FirstParagraph"/>
      </w:pPr>
      <w:r>
        <w:rPr>
          <w:bCs/>
          <w:b/>
        </w:rPr>
        <w:t xml:space="preserve">Tuyên bố tính mới trung tâm:</w:t>
      </w:r>
      <w:r>
        <w:t xml:space="preserve"> </w:t>
      </w:r>
      <w:r>
        <w:t xml:space="preserve">Luận án là công trình đầu tiên trong tài liệu kinh doanh quốc tế chuyển luận điểm</w:t>
      </w:r>
      <w:r>
        <w:t xml:space="preserve"> </w:t>
      </w:r>
      <w:r>
        <w:t xml:space="preserve">“</w:t>
      </w:r>
      <w:r>
        <w:t xml:space="preserve">quan hệ quốc tế hóa và hiệu quả phụ thuộc bối cảnh</w:t>
      </w:r>
      <w:r>
        <w:t xml:space="preserve">”</w:t>
      </w:r>
      <w:r>
        <w:t xml:space="preserve"> </w:t>
      </w:r>
      <w:r>
        <w:t xml:space="preserve">từ một nhận định định tính thành một cấu trúc kiểm định được trên toàn bộ phổ thể chế của một khu vực, đồng thời xác định và định danh điểm mà tại đó dạng hàm chữ U ngược không còn ứng dụng được. Khác với các nghiên cứu trước thường dừng ở việc chứng minh thể chế điều tiết</w:t>
      </w:r>
      <w:r>
        <w:t xml:space="preserve"> </w:t>
      </w:r>
      <w:r>
        <w:rPr>
          <w:iCs/>
          <w:i/>
        </w:rPr>
        <w:t xml:space="preserve">độ lớn</w:t>
      </w:r>
      <w:r>
        <w:t xml:space="preserve"> </w:t>
      </w:r>
      <w:r>
        <w:t xml:space="preserve">của hiệu ứng, luận án chứng minh thể chế điều tiết cả</w:t>
      </w:r>
      <w:r>
        <w:t xml:space="preserve"> </w:t>
      </w:r>
      <w:r>
        <w:rPr>
          <w:iCs/>
          <w:i/>
        </w:rPr>
        <w:t xml:space="preserve">dấu</w:t>
      </w:r>
      <w:r>
        <w:t xml:space="preserve"> </w:t>
      </w:r>
      <w:r>
        <w:t xml:space="preserve">và</w:t>
      </w:r>
      <w:r>
        <w:t xml:space="preserve"> </w:t>
      </w:r>
      <w:r>
        <w:rPr>
          <w:iCs/>
          <w:i/>
        </w:rPr>
        <w:t xml:space="preserve">dạng hình</w:t>
      </w:r>
      <w:r>
        <w:t xml:space="preserve"> </w:t>
      </w:r>
      <w:r>
        <w:t xml:space="preserve">của quan hệ, qua đó nâng luận điểm từ</w:t>
      </w:r>
      <w:r>
        <w:t xml:space="preserve"> </w:t>
      </w:r>
      <w:r>
        <w:t xml:space="preserve">“</w:t>
      </w:r>
      <w:r>
        <w:t xml:space="preserve">phụ thuộc bối cảnh</w:t>
      </w:r>
      <w:r>
        <w:t xml:space="preserve">”</w:t>
      </w:r>
      <w:r>
        <w:t xml:space="preserve"> </w:t>
      </w:r>
      <w:r>
        <w:t xml:space="preserve">lên</w:t>
      </w:r>
      <w:r>
        <w:t xml:space="preserve"> </w:t>
      </w:r>
      <w:r>
        <w:t xml:space="preserve">“</w:t>
      </w:r>
      <w:r>
        <w:t xml:space="preserve">có điều kiện theo bối cảnh</w:t>
      </w:r>
      <w:r>
        <w:t xml:space="preserve">”</w:t>
      </w:r>
      <w:r>
        <w:t xml:space="preserve">.</w:t>
      </w:r>
    </w:p>
    <w:bookmarkEnd w:id="20"/>
    <w:bookmarkStart w:id="21" w:name="ý-nghĩa-thực-tiễn"/>
    <w:p>
      <w:pPr>
        <w:pStyle w:val="Heading2"/>
      </w:pPr>
      <w:r>
        <w:t xml:space="preserve">Ý nghĩa thực tiễn</w:t>
      </w:r>
    </w:p>
    <w:p>
      <w:pPr>
        <w:pStyle w:val="FirstParagraph"/>
      </w:pPr>
      <w:r>
        <w:t xml:space="preserve">Bản đồ điều tiết theo chế độ thể chế cung cấp cho doanh nghiệp và nhà hoạch định chính sách một cơ sở để định vị kỳ vọng về quan hệ quốc tế hóa và hiệu quả theo từng bối cảnh thể chế cụ thể, thay vì áp dụng một kỳ vọng phổ quát; đồng thời cảnh báo rằng vai trò</w:t>
      </w:r>
      <w:r>
        <w:t xml:space="preserve"> </w:t>
      </w:r>
      <w:r>
        <w:t xml:space="preserve">“</w:t>
      </w:r>
      <w:r>
        <w:t xml:space="preserve">lá chắn số</w:t>
      </w:r>
      <w:r>
        <w:t xml:space="preserve">”</w:t>
      </w:r>
      <w:r>
        <w:t xml:space="preserve"> </w:t>
      </w:r>
      <w:r>
        <w:t xml:space="preserve">của DAI phụ thuộc bối cảnh, và chỉ ra điều kiện biên FIP đối với các nền kinh tế đảo nhỏ.</w:t>
      </w:r>
    </w:p>
    <w:bookmarkEnd w:id="21"/>
    <w:bookmarkEnd w:id="22"/>
    <w:bookmarkStart w:id="25" w:name="Xe80fac6ef8dbaa70fe4dcb0ba64c7d328cc3e4c"/>
    <w:p>
      <w:pPr>
        <w:pStyle w:val="Heading1"/>
      </w:pPr>
      <w:r>
        <w:t xml:space="preserve">INFORMATION ON THE NEW ACADEMIC AND THEORETICAL CONTRIBUTIONS OF THE DISSERTATION</w:t>
      </w:r>
    </w:p>
    <w:p>
      <w:pPr>
        <w:pStyle w:val="FirstParagraph"/>
      </w:pPr>
      <w:r>
        <w:rPr>
          <w:bCs/>
          <w:b/>
        </w:rPr>
        <w:t xml:space="preserve">Dissertation title:</w:t>
      </w:r>
      <w:r>
        <w:t xml:space="preserve"> </w:t>
      </w:r>
      <w:r>
        <w:t xml:space="preserve">Internationalization and Firm Performance in Asia: The Moderating Roles of Institutions, Digital Capability, and Top-Manager Characteristics</w:t>
      </w:r>
    </w:p>
    <w:p>
      <w:pPr>
        <w:pStyle w:val="BodyText"/>
      </w:pPr>
      <w:r>
        <w:rPr>
          <w:bCs/>
          <w:b/>
        </w:rPr>
        <w:t xml:space="preserve">Major:</w:t>
      </w:r>
      <w:r>
        <w:t xml:space="preserve"> </w:t>
      </w:r>
      <w:r>
        <w:t xml:space="preserve">Business Administration —</w:t>
      </w:r>
      <w:r>
        <w:t xml:space="preserve"> </w:t>
      </w:r>
      <w:r>
        <w:rPr>
          <w:bCs/>
          <w:b/>
        </w:rPr>
        <w:t xml:space="preserve">Code:</w:t>
      </w:r>
      <w:r>
        <w:t xml:space="preserve"> </w:t>
      </w:r>
      <w:r>
        <w:t xml:space="preserve">9340101</w:t>
      </w:r>
    </w:p>
    <w:p>
      <w:pPr>
        <w:pStyle w:val="BodyText"/>
      </w:pPr>
      <w:r>
        <w:rPr>
          <w:bCs/>
          <w:b/>
        </w:rPr>
        <w:t xml:space="preserve">PhD candidate:</w:t>
      </w:r>
      <w:r>
        <w:t xml:space="preserve"> </w:t>
      </w:r>
      <w:r>
        <w:t xml:space="preserve">Do Thuy Huong</w:t>
      </w:r>
    </w:p>
    <w:p>
      <w:pPr>
        <w:pStyle w:val="BodyText"/>
      </w:pPr>
      <w:r>
        <w:rPr>
          <w:bCs/>
          <w:b/>
        </w:rPr>
        <w:t xml:space="preserve">Supervisor:</w:t>
      </w:r>
      <w:r>
        <w:t xml:space="preserve"> </w:t>
      </w:r>
      <w:r>
        <w:t xml:space="preserve">Assoc. Prof. Dr. Phan Anh Tu</w:t>
      </w:r>
    </w:p>
    <w:p>
      <w:pPr>
        <w:pStyle w:val="BodyText"/>
      </w:pPr>
      <w:r>
        <w:rPr>
          <w:bCs/>
          <w:b/>
        </w:rPr>
        <w:t xml:space="preserve">Institution:</w:t>
      </w:r>
      <w:r>
        <w:t xml:space="preserve"> </w:t>
      </w:r>
      <w:r>
        <w:t xml:space="preserve">Can Tho University</w:t>
      </w:r>
    </w:p>
    <w:bookmarkStart w:id="23" w:name="new-contributions-of-the-dissertation"/>
    <w:p>
      <w:pPr>
        <w:pStyle w:val="Heading2"/>
      </w:pPr>
      <w:r>
        <w:t xml:space="preserve">New contributions of the dissertation</w:t>
      </w:r>
    </w:p>
    <w:p>
      <w:pPr>
        <w:numPr>
          <w:ilvl w:val="0"/>
          <w:numId w:val="1002"/>
        </w:numPr>
      </w:pPr>
      <w:r>
        <w:rPr>
          <w:bCs/>
          <w:b/>
        </w:rPr>
        <w:t xml:space="preserve">An integrative, multi-tier theoretical framework (CDCM).</w:t>
      </w:r>
      <w:r>
        <w:t xml:space="preserve"> </w:t>
      </w:r>
      <w:r>
        <w:t xml:space="preserve">The dissertation proposes the</w:t>
      </w:r>
      <w:r>
        <w:t xml:space="preserve"> </w:t>
      </w:r>
      <w:r>
        <w:rPr>
          <w:iCs/>
          <w:i/>
        </w:rPr>
        <w:t xml:space="preserve">Country–Digital–Capability Moderation</w:t>
      </w:r>
      <w:r>
        <w:t xml:space="preserve"> </w:t>
      </w:r>
      <w:r>
        <w:t xml:space="preserve">framework, joining four established theories (the Uppsala model, the resource-based view, institutional theory, and upper-echelons theory) with a digital-capability extension into a unified, testable architecture. It is the first systematically constructed three-tier moderation framework for the Asian context.</w:t>
      </w:r>
    </w:p>
    <w:p>
      <w:pPr>
        <w:numPr>
          <w:ilvl w:val="0"/>
          <w:numId w:val="1002"/>
        </w:numPr>
      </w:pPr>
      <w:r>
        <w:rPr>
          <w:bCs/>
          <w:b/>
        </w:rPr>
        <w:t xml:space="preserve">Separation of two digital-capability constructs.</w:t>
      </w:r>
      <w:r>
        <w:t xml:space="preserve"> </w:t>
      </w:r>
      <w:r>
        <w:t xml:space="preserve">The study separates the Technological Capability Index (TCI) and the Digital Adoption Index (DAI) into two non-overlapping constructs and tests them jointly within a single model, clarifying that TCI is a</w:t>
      </w:r>
      <w:r>
        <w:t xml:space="preserve"> </w:t>
      </w:r>
      <w:r>
        <w:rPr>
          <w:iCs/>
          <w:i/>
        </w:rPr>
        <w:t xml:space="preserve">foundational capability</w:t>
      </w:r>
      <w:r>
        <w:t xml:space="preserve"> </w:t>
      </w:r>
      <w:r>
        <w:t xml:space="preserve">that shifts the performance level uniformly, whereas DAI is a</w:t>
      </w:r>
      <w:r>
        <w:t xml:space="preserve"> </w:t>
      </w:r>
      <w:r>
        <w:rPr>
          <w:iCs/>
          <w:i/>
        </w:rPr>
        <w:t xml:space="preserve">situational resource</w:t>
      </w:r>
      <w:r>
        <w:t xml:space="preserve"> </w:t>
      </w:r>
      <w:r>
        <w:t xml:space="preserve">effective only in specific contexts.</w:t>
      </w:r>
    </w:p>
    <w:p>
      <w:pPr>
        <w:numPr>
          <w:ilvl w:val="0"/>
          <w:numId w:val="1002"/>
        </w:numPr>
      </w:pPr>
      <w:r>
        <w:rPr>
          <w:bCs/>
          <w:b/>
        </w:rPr>
        <w:t xml:space="preserve">A six-regime institutional taxonomy (ICRV).</w:t>
      </w:r>
      <w:r>
        <w:t xml:space="preserve"> </w:t>
      </w:r>
      <w:r>
        <w:t xml:space="preserve">The dissertation develops and applies the</w:t>
      </w:r>
      <w:r>
        <w:t xml:space="preserve"> </w:t>
      </w:r>
      <w:r>
        <w:rPr>
          <w:iCs/>
          <w:i/>
        </w:rPr>
        <w:t xml:space="preserve">Institutional Context Regime Variation</w:t>
      </w:r>
      <w:r>
        <w:t xml:space="preserve"> </w:t>
      </w:r>
      <w:r>
        <w:t xml:space="preserve">taxonomy of six sub-regimes for 50 Asia-Pacific economies, including seven Pacific Small Island Developing States as an extreme boundary case — an institutional resolution not previously used in empirical I–P research on Asia.</w:t>
      </w:r>
    </w:p>
    <w:p>
      <w:pPr>
        <w:numPr>
          <w:ilvl w:val="0"/>
          <w:numId w:val="1002"/>
        </w:numPr>
      </w:pPr>
      <w:r>
        <w:rPr>
          <w:bCs/>
          <w:b/>
        </w:rPr>
        <w:t xml:space="preserve">The largest documented multi-country dataset for the region.</w:t>
      </w:r>
      <w:r>
        <w:t xml:space="preserve"> </w:t>
      </w:r>
      <w:r>
        <w:t xml:space="preserve">The pooled sample comprises 88,869 firms from 50 Asia-Pacific economies (main regression sample N = 81,022), substantially extending existing multi-country evidence bases for the internationalization–performance relationship in Asia.</w:t>
      </w:r>
    </w:p>
    <w:p>
      <w:pPr>
        <w:numPr>
          <w:ilvl w:val="0"/>
          <w:numId w:val="1002"/>
        </w:numPr>
      </w:pPr>
      <w:r>
        <w:rPr>
          <w:bCs/>
          <w:b/>
        </w:rPr>
        <w:t xml:space="preserve">Evidence on the temporal stability of the turning point.</w:t>
      </w:r>
      <w:r>
        <w:t xml:space="preserve"> </w:t>
      </w:r>
      <w:r>
        <w:t xml:space="preserve">Testing the durability of the nonlinear structure in China, the dissertation shows that the inverted-U turning point is relatively stable across more than a decade of digital transformation (≈ 48.78% FSTS), despite substantial changes in the economic context.</w:t>
      </w:r>
    </w:p>
    <w:p>
      <w:pPr>
        <w:numPr>
          <w:ilvl w:val="0"/>
          <w:numId w:val="1002"/>
        </w:numPr>
      </w:pPr>
      <w:r>
        <w:rPr>
          <w:bCs/>
          <w:b/>
        </w:rPr>
        <w:t xml:space="preserve">Proposal and naming of the Forced Internationalization Penalty (FIP).</w:t>
      </w:r>
      <w:r>
        <w:t xml:space="preserve"> </w:t>
      </w:r>
      <w:r>
        <w:t xml:space="preserve">The dissertation introduces a theoretical boundary condition of the inverted-U model, under which the I–P relationship turns monotonically negative when three structural conditions are violated simultaneously — a construct not previously named in the international-business literature.</w:t>
      </w:r>
    </w:p>
    <w:p>
      <w:pPr>
        <w:pStyle w:val="FirstParagraph"/>
      </w:pPr>
      <w:r>
        <w:rPr>
          <w:bCs/>
          <w:b/>
        </w:rPr>
        <w:t xml:space="preserve">Central novelty statement:</w:t>
      </w:r>
      <w:r>
        <w:t xml:space="preserve"> </w:t>
      </w:r>
      <w:r>
        <w:t xml:space="preserve">This dissertation is the first work in the international-business literature to convert the claim that</w:t>
      </w:r>
      <w:r>
        <w:t xml:space="preserve"> </w:t>
      </w:r>
      <w:r>
        <w:t xml:space="preserve">“</w:t>
      </w:r>
      <w:r>
        <w:t xml:space="preserve">the I–P relationship is context-dependent</w:t>
      </w:r>
      <w:r>
        <w:t xml:space="preserve">”</w:t>
      </w:r>
      <w:r>
        <w:t xml:space="preserve"> </w:t>
      </w:r>
      <w:r>
        <w:t xml:space="preserve">from a qualitative assertion into a construct testable across the full institutional spectrum of a region, while identifying and naming the point at which the inverted-U functional form ceases to apply. Unlike prior work that demonstrates institutions moderating the</w:t>
      </w:r>
      <w:r>
        <w:t xml:space="preserve"> </w:t>
      </w:r>
      <w:r>
        <w:rPr>
          <w:iCs/>
          <w:i/>
        </w:rPr>
        <w:t xml:space="preserve">magnitude</w:t>
      </w:r>
      <w:r>
        <w:t xml:space="preserve"> </w:t>
      </w:r>
      <w:r>
        <w:t xml:space="preserve">of the effect, this dissertation shows that institutions moderate both the</w:t>
      </w:r>
      <w:r>
        <w:t xml:space="preserve"> </w:t>
      </w:r>
      <w:r>
        <w:rPr>
          <w:iCs/>
          <w:i/>
        </w:rPr>
        <w:t xml:space="preserve">sign</w:t>
      </w:r>
      <w:r>
        <w:t xml:space="preserve"> </w:t>
      </w:r>
      <w:r>
        <w:t xml:space="preserve">and the</w:t>
      </w:r>
      <w:r>
        <w:t xml:space="preserve"> </w:t>
      </w:r>
      <w:r>
        <w:rPr>
          <w:iCs/>
          <w:i/>
        </w:rPr>
        <w:t xml:space="preserve">shape</w:t>
      </w:r>
      <w:r>
        <w:t xml:space="preserve"> </w:t>
      </w:r>
      <w:r>
        <w:t xml:space="preserve">of the relationship, thereby elevating the claim from</w:t>
      </w:r>
      <w:r>
        <w:t xml:space="preserve"> </w:t>
      </w:r>
      <w:r>
        <w:t xml:space="preserve">“</w:t>
      </w:r>
      <w:r>
        <w:t xml:space="preserve">context-dependent</w:t>
      </w:r>
      <w:r>
        <w:t xml:space="preserve">”</w:t>
      </w:r>
      <w:r>
        <w:t xml:space="preserve"> </w:t>
      </w:r>
      <w:r>
        <w:t xml:space="preserve">to</w:t>
      </w:r>
      <w:r>
        <w:t xml:space="preserve"> </w:t>
      </w:r>
      <w:r>
        <w:t xml:space="preserve">“</w:t>
      </w:r>
      <w:r>
        <w:t xml:space="preserve">context-contingent.</w:t>
      </w:r>
      <w:r>
        <w:t xml:space="preserve">”</w:t>
      </w:r>
    </w:p>
    <w:bookmarkEnd w:id="23"/>
    <w:bookmarkStart w:id="24" w:name="practical-implications"/>
    <w:p>
      <w:pPr>
        <w:pStyle w:val="Heading2"/>
      </w:pPr>
      <w:r>
        <w:t xml:space="preserve">Practical implications</w:t>
      </w:r>
    </w:p>
    <w:p>
      <w:pPr>
        <w:pStyle w:val="FirstParagraph"/>
      </w:pPr>
      <w:r>
        <w:t xml:space="preserve">The regime-based moderation map provides firms and policymakers with a basis for calibrating their expectations about the internationalization–performance relationship to each specific institutional context, rather than applying a universal expectation; it also cautions that DAI’s</w:t>
      </w:r>
      <w:r>
        <w:t xml:space="preserve"> </w:t>
      </w:r>
      <w:r>
        <w:t xml:space="preserve">“</w:t>
      </w:r>
      <w:r>
        <w:t xml:space="preserve">digital shield</w:t>
      </w:r>
      <w:r>
        <w:t xml:space="preserve">”</w:t>
      </w:r>
      <w:r>
        <w:t xml:space="preserve"> </w:t>
      </w:r>
      <w:r>
        <w:t xml:space="preserve">role is context-dependent and identifies the FIP boundary condition for small-island economies.</w:t>
      </w:r>
    </w:p>
    <w:bookmarkEnd w:id="24"/>
    <w:bookmarkEnd w:id="2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2026-06-25T15:58:03Z</dcterms:created>
  <dcterms:modified xsi:type="dcterms:W3CDTF">2026-06-25T15:58:03Z</dcterms:modified>
</cp:coreProperties>
</file>

<file path=docProps/custom.xml><?xml version="1.0" encoding="utf-8"?>
<Properties xmlns="http://schemas.openxmlformats.org/officeDocument/2006/custom-properties" xmlns:vt="http://schemas.openxmlformats.org/officeDocument/2006/docPropsVTypes"/>
</file>