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7c9fe66139083929737c2c01a057b9e72cf1f0"/>
    <w:p>
      <w:pPr>
        <w:pStyle w:val="Heading1"/>
      </w:pPr>
      <w:r>
        <w:t xml:space="preserve">Cover Letter, Multinational Business Review</w: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We are pleased to submit our manuscript,</w:t>
      </w:r>
      <w:r>
        <w:t xml:space="preserve"> </w:t>
      </w:r>
      <w:r>
        <w:rPr>
          <w:bCs/>
          <w:b/>
        </w:rPr>
        <w:t xml:space="preserve">"Technological Capability, Digital Adoption, and the Internationalization–Performance Relationship: A Firm-Level Study of Singapore,"</w:t>
      </w:r>
      <w:r>
        <w:t xml:space="preserve"> </w:t>
      </w:r>
      <w:r>
        <w:t xml:space="preserve">for consideration in</w:t>
      </w:r>
      <w:r>
        <w:t xml:space="preserve"> </w:t>
      </w:r>
      <w:r>
        <w:rPr>
          <w:iCs/>
          <w:i/>
        </w:rPr>
        <w:t xml:space="preserve">Multinational Business Review (MBR)</w:t>
      </w:r>
      <w:r>
        <w:t xml:space="preserve">.</w:t>
      </w:r>
    </w:p>
    <w:p>
      <w:pPr>
        <w:pStyle w:val="BodyText"/>
      </w:pPr>
      <w:r>
        <w:t xml:space="preserve">We examine how technological capability and digital adoption condition the I–P relationship among firms in Singapore, an advanced-economy boundary case, using WBES B-READY 2023 data.</w:t>
      </w:r>
    </w:p>
    <w:p>
      <w:pPr>
        <w:pStyle w:val="BodyText"/>
      </w:pPr>
      <w:r>
        <w:t xml:space="preserve">This study fits MBR's focus on the multinational enterprise and technological capability in international strategy. We believe it offers a clear contribution and a good fit for your readership.</w:t>
      </w:r>
    </w:p>
    <w:p>
      <w:pPr>
        <w:pStyle w:val="BodyText"/>
      </w:pPr>
      <w:r>
        <w:t xml:space="preserve">The manuscript is original, has not been published, and is not under consideration elsewhere. All authors approved the submission and declare no conflicts of interest. We confirm the use of a writing-assistance tool (Grammarly) for language only; no generative AI produced substantive content.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Phan Anh Tú (corresponding author), College of Economics, Can Tho University, Vietnam ·</w:t>
      </w:r>
      <w:r>
        <w:t xml:space="preserve"> </w:t>
      </w:r>
      <w:hyperlink r:id="rId20">
        <w:r>
          <w:rPr>
            <w:rStyle w:val="Hyperlink"/>
          </w:rPr>
          <w:t xml:space="preserve">patu@ctu.edu.vn</w:t>
        </w:r>
      </w:hyperlink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2026-06-08T05:30:12Z</dcterms:created>
  <dcterms:modified xsi:type="dcterms:W3CDTF">2026-06-08T05:30:12Z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