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7,900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Xe3d0fc0bea9a42ce7605565d0964033d7f6ee47"/>
    <w:p>
      <w:pPr>
        <w:pStyle w:val="Heading2"/>
      </w:pPr>
      <w:r>
        <w:t xml:space="preserve">1 Introduction</w:t>
      </w:r>
    </w:p>
    <w:bookmarkStart w:id="21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as the modal empirical pattern (Marano et al. 2016). Much of</w:t>
      </w:r>
      <w:r>
        <w:t xml:space="preserve"> </w:t>
      </w:r>
      <w:r>
        <w:t xml:space="preserve">this literature was developed in pre-digital or transitional-digital</w:t>
      </w:r>
      <w:r>
        <w:t xml:space="preserve"> </w:t>
      </w:r>
      <w:r>
        <w:t xml:space="preserve">settings whose institutional and infrastructural conditions differ</w:t>
      </w:r>
      <w:r>
        <w:t xml:space="preserve"> </w:t>
      </w:r>
      <w:r>
        <w:t xml:space="preserve">substantially from those of digitally advanced economies (Peng 2003; Peng</w:t>
      </w:r>
      <w:r>
        <w:t xml:space="preserve"> </w:t>
      </w:r>
      <w:r>
        <w:t xml:space="preserve">et al. 2008) and may not capture how the I–P curve behaves in a digitally</w:t>
      </w:r>
      <w:r>
        <w:t xml:space="preserve"> </w:t>
      </w:r>
      <w:r>
        <w:t xml:space="preserve">advanced environment. Singapore's digital maturity is empirically grounded:</w:t>
      </w:r>
      <w:r>
        <w:t xml:space="preserve"> </w:t>
      </w:r>
      <w:r>
        <w:t xml:space="preserve">it ranked 2nd globally in the StartupBlink Innovators Business Environment</w:t>
      </w:r>
      <w:r>
        <w:t xml:space="preserve"> </w:t>
      </w:r>
      <w:r>
        <w:t xml:space="preserve">Index 2026 (score 99.145 out of 100; 1st in Asia Pacific), 4th in the Global</w:t>
      </w:r>
      <w:r>
        <w:t xml:space="preserve"> </w:t>
      </w:r>
      <w:r>
        <w:t xml:space="preserve">Startup Ecosystem Index 2025 (up from 5th in 2024, with ecosystem growth of</w:t>
      </w:r>
      <w:r>
        <w:t xml:space="preserve"> </w:t>
      </w:r>
      <w:r>
        <w:t xml:space="preserve">44.9% against a top-20 average of 28.5%), and 3rd in the United Nations</w:t>
      </w:r>
      <w:r>
        <w:t xml:space="preserve"> </w:t>
      </w:r>
      <w:r>
        <w:t xml:space="preserve">e-Government Survey 2024, while the Smart Nation 2.0 initiative (launched</w:t>
      </w:r>
      <w:r>
        <w:t xml:space="preserve"> </w:t>
      </w:r>
      <w:r>
        <w:t xml:space="preserve">2024) formalizes digital trust infrastructure as a national policy priority</w:t>
      </w:r>
      <w:r>
        <w:t xml:space="preserve"> </w:t>
      </w:r>
      <w:r>
        <w:t xml:space="preserve">(GovTech Singapore, 2024; StartupBlink, 2025, 2026). In such contexts the relevant question is not</w:t>
      </w:r>
      <w:r>
        <w:t xml:space="preserve"> </w:t>
      </w:r>
      <w:r>
        <w:t xml:space="preserve">whether firms still exhibit the conventional inverted-U, but whether digital</w:t>
      </w:r>
      <w:r>
        <w:t xml:space="preserve"> </w:t>
      </w:r>
      <w:r>
        <w:t xml:space="preserve">maturity changes the export range over which the right-side decline becomes</w:t>
      </w:r>
      <w:r>
        <w:t xml:space="preserve"> </w:t>
      </w:r>
      <w:r>
        <w:t xml:space="preserve">empirically visible. If mature digital infrastructure attenuates</w:t>
      </w:r>
      <w:r>
        <w:t xml:space="preserve"> </w:t>
      </w:r>
      <w:r>
        <w:t xml:space="preserve">communication, transaction, and information frictions, the coordination-cost</w:t>
      </w:r>
      <w:r>
        <w:t xml:space="preserve"> </w:t>
      </w:r>
      <w:r>
        <w:t xml:space="preserve">mechanism underlying the classic inverted-U may be weakened, delayed, or</w:t>
      </w:r>
      <w:r>
        <w:t xml:space="preserve"> </w:t>
      </w:r>
      <w:r>
        <w:t xml:space="preserve">pushed toward sparsely populated levels of export intensity, because such</w:t>
      </w:r>
      <w:r>
        <w:t xml:space="preserve"> </w:t>
      </w:r>
      <w:r>
        <w:t xml:space="preserve">technologies alter the cost and speed of cross-border coordination</w:t>
      </w:r>
      <w:r>
        <w:t xml:space="preserve"> </w:t>
      </w:r>
      <w:r>
        <w:t xml:space="preserve">(Bharadwaj et al. 2013; Verhoef et al. 2021).</w:t>
      </w:r>
      <w:r>
        <w:t xml:space="preserve"> </w:t>
      </w:r>
      <w:r>
        <w:t xml:space="preserve">This combination creates 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</w:t>
      </w:r>
      <w:r>
        <w:t xml:space="preserve"> </w:t>
      </w:r>
      <w:r>
        <w:t xml:space="preserve">where Tier 1–2 digital interfaces (websites, electronic payment systems)</w:t>
      </w:r>
      <w:r>
        <w:t xml:space="preserve"> </w:t>
      </w:r>
      <w:r>
        <w:t xml:space="preserve">are already widely diffused, they function as hygiene factors for domestic</w:t>
      </w:r>
      <w:r>
        <w:t xml:space="preserve"> </w:t>
      </w:r>
      <w:r>
        <w:t xml:space="preserve">operations rather than differentiating assets. Consistent with this, the</w:t>
      </w:r>
      <w:r>
        <w:t xml:space="preserve"> </w:t>
      </w:r>
      <w:r>
        <w:t xml:space="preserve">Singapore sample reveals that 82% of firms report zero exports while only</w:t>
      </w:r>
      <w:r>
        <w:t xml:space="preserve"> </w:t>
      </w:r>
      <w:r>
        <w:t xml:space="preserve">3% exceed 50% foreign sales to total sales, a striking domestic</w:t>
      </w:r>
      <w:r>
        <w:t xml:space="preserve"> </w:t>
      </w:r>
      <w:r>
        <w:t xml:space="preserve">orientation despite mature digital infrastructure. The productivity</w:t>
      </w:r>
      <w:r>
        <w:t xml:space="preserve"> </w:t>
      </w:r>
      <w:r>
        <w:t xml:space="preserve">returns to foundational digital adoption should therefore not manifest</w:t>
      </w:r>
      <w:r>
        <w:t xml:space="preserve"> </w:t>
      </w:r>
      <w:r>
        <w:t xml:space="preserve">uniformly but become measurable primarily when firms face the intensified</w:t>
      </w:r>
      <w:r>
        <w:t xml:space="preserve"> </w:t>
      </w:r>
      <w:r>
        <w:t xml:space="preserve">coordination and transaction demands of cross-border activity. Singapore</w:t>
      </w:r>
      <w:r>
        <w:t xml:space="preserve"> </w:t>
      </w:r>
      <w:r>
        <w:t xml:space="preserve">thus serves as an analytically ideal stress test in which the conditional</w:t>
      </w:r>
      <w:r>
        <w:t xml:space="preserve"> </w:t>
      </w:r>
      <w:r>
        <w:t xml:space="preserve">logic of foundational digital adoption is most legible precisely because</w:t>
      </w:r>
      <w:r>
        <w:t xml:space="preserve"> </w:t>
      </w:r>
      <w:r>
        <w:t xml:space="preserve">domestic saturation removes the uniform-premium effect and leaves only the</w:t>
      </w:r>
      <w:r>
        <w:t xml:space="preserve"> </w:t>
      </w:r>
      <w:r>
        <w:t xml:space="preserve">export-contingent signal. A second motivation concerns construct clarity.</w:t>
      </w:r>
      <w:r>
        <w:t xml:space="preserve"> </w:t>
      </w:r>
      <w:r>
        <w:t xml:space="preserve">Firms differ both in deeper technological capability rooted in learning,</w:t>
      </w:r>
      <w:r>
        <w:t xml:space="preserve"> </w:t>
      </w:r>
      <w:r>
        <w:t xml:space="preserve">innovation, and absorptive capacity and in their uptake of basic digital</w:t>
      </w:r>
      <w:r>
        <w:t xml:space="preserve"> </w:t>
      </w:r>
      <w:r>
        <w:t xml:space="preserve">interfaces and transaction-enabling systems. These domains should not be</w:t>
      </w:r>
      <w:r>
        <w:t xml:space="preserve"> </w:t>
      </w:r>
      <w:r>
        <w:t xml:space="preserve">collapsed into a single umbrella construct: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 1992),</w:t>
      </w:r>
      <w:r>
        <w:t xml:space="preserve"> </w:t>
      </w:r>
      <w:r>
        <w:t xml:space="preserve">whereas digital adoption reflects participation in digitally enabled</w:t>
      </w:r>
      <w:r>
        <w:t xml:space="preserve"> </w:t>
      </w:r>
      <w:r>
        <w:t xml:space="preserve">transactions and interfaces more contingent on the surrounding digital</w:t>
      </w:r>
      <w:r>
        <w:t xml:space="preserve"> </w:t>
      </w:r>
      <w:r>
        <w:t xml:space="preserve">ecosystem (Bharadwaj et al. 2013; Verhoef et al. 2021).</w:t>
      </w:r>
    </w:p>
    <w:bookmarkEnd w:id="21"/>
    <w:bookmarkStart w:id="22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 capability</w:t>
      </w:r>
      <w:r>
        <w:t xml:space="preserve"> </w:t>
      </w:r>
      <w:r>
        <w:t xml:space="preserve">from more basic digital adoption. The two domains imply different</w:t>
      </w:r>
      <w:r>
        <w:t xml:space="preserve"> </w:t>
      </w:r>
      <w:r>
        <w:t xml:space="preserve">mechanisms of advantage: technological capability concerns learning,</w:t>
      </w:r>
      <w:r>
        <w:t xml:space="preserve"> </w:t>
      </w:r>
      <w:r>
        <w:t xml:space="preserve">innovation, and absorptive depth within the firm, whereas foundational</w:t>
      </w:r>
      <w:r>
        <w:t xml:space="preserve"> </w:t>
      </w:r>
      <w:r>
        <w:t xml:space="preserve">digital adoption concerns digital interfaces and transaction-enabling</w:t>
      </w:r>
      <w:r>
        <w:t xml:space="preserve"> </w:t>
      </w:r>
      <w:r>
        <w:t xml:space="preserve">systems that may matter differently across stages of internationalization.</w:t>
      </w:r>
      <w:r>
        <w:t xml:space="preserve"> </w:t>
      </w:r>
      <w:r>
        <w:t xml:space="preserve">Second, although digital internationalization research has generated</w:t>
      </w:r>
      <w:r>
        <w:t xml:space="preserve"> </w:t>
      </w:r>
      <w:r>
        <w:t xml:space="preserve">important conceptual advances, firm-level evidence remains limited on</w:t>
      </w:r>
      <w:r>
        <w:t xml:space="preserve"> </w:t>
      </w:r>
      <w:r>
        <w:t xml:space="preserve">whether foundational digital tools matter uniformly across firms or</w:t>
      </w:r>
      <w:r>
        <w:t xml:space="preserve"> </w:t>
      </w:r>
      <w:r>
        <w:t xml:space="preserve">become more relevant only when cross-border coordination demands</w:t>
      </w:r>
      <w:r>
        <w:t xml:space="preserve"> </w:t>
      </w:r>
      <w:r>
        <w:t xml:space="preserve">intensify within a single digitally advanced environment. Focusing on</w:t>
      </w:r>
      <w:r>
        <w:t xml:space="preserve"> </w:t>
      </w:r>
      <w:r>
        <w:t xml:space="preserve">Tier 1–2 adoption, the most widely diffused and comparable digital layer,</w:t>
      </w:r>
      <w:r>
        <w:t xml:space="preserve"> </w:t>
      </w:r>
      <w:r>
        <w:t xml:space="preserve">is a deliberate 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stronger</w:t>
      </w:r>
      <w:r>
        <w:t xml:space="preserve"> </w:t>
      </w:r>
      <w:r>
        <w:t xml:space="preserve">differentiation, making this the most conservative and replicable test of</w:t>
      </w:r>
      <w:r>
        <w:t xml:space="preserve"> </w:t>
      </w:r>
      <w:r>
        <w:t xml:space="preserve">the conditional digital adoption hypothesis. Third, the nonlinear I–P</w:t>
      </w:r>
      <w:r>
        <w:t xml:space="preserve"> </w:t>
      </w:r>
      <w:r>
        <w:t xml:space="preserve">literature has documented inverted-U patterns extensively, but their</w:t>
      </w:r>
      <w:r>
        <w:t xml:space="preserve"> </w:t>
      </w:r>
      <w:r>
        <w:t xml:space="preserve">interpretation in a digitally advanced setting remains under-specified: the</w:t>
      </w:r>
      <w:r>
        <w:t xml:space="preserve"> </w:t>
      </w:r>
      <w:r>
        <w:t xml:space="preserve">unresolved issue is not whether one setting can establish a general boundary</w:t>
      </w:r>
      <w:r>
        <w:t xml:space="preserve"> </w:t>
      </w:r>
      <w:r>
        <w:t xml:space="preserve">condition for all digitally mature economies, but how firm-level evidence</w:t>
      </w:r>
      <w:r>
        <w:t xml:space="preserve"> </w:t>
      </w:r>
      <w:r>
        <w:t xml:space="preserve">should be interpreted relative to the conventional literature. This study</w:t>
      </w:r>
      <w:r>
        <w:t xml:space="preserve"> </w:t>
      </w:r>
      <w:r>
        <w:t xml:space="preserve">addresses that issue by examining whether the right-side decline is clearly</w:t>
      </w:r>
      <w:r>
        <w:t xml:space="preserve"> </w:t>
      </w:r>
      <w:r>
        <w:t xml:space="preserve">identifiable within the export-intensity range actually occupied by firms in</w:t>
      </w:r>
      <w:r>
        <w:t xml:space="preserve"> </w:t>
      </w:r>
      <w:r>
        <w:t xml:space="preserve">Singapore, and by separating technological capability from foundational</w:t>
      </w:r>
      <w:r>
        <w:t xml:space="preserve"> </w:t>
      </w:r>
      <w:r>
        <w:t xml:space="preserve">digital adoption in the same framework.</w:t>
      </w:r>
    </w:p>
    <w:bookmarkEnd w:id="22"/>
    <w:bookmarkStart w:id="23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and two supporting contributions. The</w:t>
      </w:r>
      <w:r>
        <w:t xml:space="preserve"> </w:t>
      </w:r>
      <w:r>
        <w:t xml:space="preserve">primary contribution is to document that foundational digital adoption</w:t>
      </w:r>
      <w:r>
        <w:t xml:space="preserve"> </w:t>
      </w:r>
      <w:r>
        <w:t xml:space="preserve">(DAI) functions as a conditional scaling resource rather than a uniform</w:t>
      </w:r>
      <w:r>
        <w:t xml:space="preserve"> </w:t>
      </w:r>
      <w:r>
        <w:t xml:space="preserve">productivity premium in a digitally advanced economy: its productivity</w:t>
      </w:r>
      <w:r>
        <w:t xml:space="preserve"> </w:t>
      </w:r>
      <w:r>
        <w:t xml:space="preserve">association is weak across most of the export-intensity distribution and</w:t>
      </w:r>
      <w:r>
        <w:t xml:space="preserve"> </w:t>
      </w:r>
      <w:r>
        <w:t xml:space="preserve">becomes more positive only in the high-export tail, where cross-border</w:t>
      </w:r>
      <w:r>
        <w:t xml:space="preserve"> </w:t>
      </w:r>
      <w:r>
        <w:t xml:space="preserve">coordination demands are densest. This within-context evidence supports a</w:t>
      </w:r>
      <w:r>
        <w:t xml:space="preserve"> </w:t>
      </w:r>
      <w:r>
        <w:t xml:space="preserve">contingent digital complementarity mechanism, DAI as a scaling lever realised</w:t>
      </w:r>
      <w:r>
        <w:t xml:space="preserve"> </w:t>
      </w:r>
      <w:r>
        <w:t xml:space="preserve">under export-intensity conditions rather than as a broad capability advantage;</w:t>
      </w:r>
      <w:r>
        <w:t xml:space="preserve"> </w:t>
      </w:r>
      <w:r>
        <w:t xml:space="preserve">the evidence for it (H3: positive quadratic DAI×FSTS²</w:t>
      </w:r>
      <w:r>
        <w:t xml:space="preserve"> </w:t>
      </w:r>
      <w:r>
        <w:t xml:space="preserve">interaction, β=+3.119, p=.005) is the most distinctive finding and the one</w:t>
      </w:r>
      <w:r>
        <w:t xml:space="preserve"> </w:t>
      </w:r>
      <w:r>
        <w:t xml:space="preserve">least anticipated by prior literature. The first supporting contribution</w:t>
      </w:r>
      <w:r>
        <w:t xml:space="preserve"> </w:t>
      </w:r>
      <w:r>
        <w:t xml:space="preserve">qualifies the conventional nonlinear I–P literature: within the observed</w:t>
      </w:r>
      <w:r>
        <w:t xml:space="preserve"> </w:t>
      </w:r>
      <w:r>
        <w:t xml:space="preserve">range, the fitted quadratic is more defensibly read as predominantly</w:t>
      </w:r>
      <w:r>
        <w:t xml:space="preserve"> </w:t>
      </w:r>
      <w:r>
        <w:t xml:space="preserve">positive with mild curvature than as a formally established inverted-U,</w:t>
      </w:r>
      <w:r>
        <w:t xml:space="preserve"> </w:t>
      </w:r>
      <w:r>
        <w:t xml:space="preserve">because the implied turning point lies near FSTS=88.6% in a sparsely</w:t>
      </w:r>
      <w:r>
        <w:t xml:space="preserve"> </w:t>
      </w:r>
      <w:r>
        <w:t xml:space="preserve">populated upper tail and the Lind–Mehlum test does not confirm a right-side</w:t>
      </w:r>
      <w:r>
        <w:t xml:space="preserve"> </w:t>
      </w:r>
      <w:r>
        <w:t xml:space="preserve">decline at conventional thresholds. Where Tier 1–2 coordination tools are</w:t>
      </w:r>
      <w:r>
        <w:t xml:space="preserve"> </w:t>
      </w:r>
      <w:r>
        <w:t xml:space="preserve">widely diffused, this is an informative positive null consistent with the</w:t>
      </w:r>
      <w:r>
        <w:t xml:space="preserve"> </w:t>
      </w:r>
      <w:r>
        <w:t xml:space="preserve">saturation hypothesis rather than an anomaly, so the study qualifies rather</w:t>
      </w:r>
      <w:r>
        <w:t xml:space="preserve"> </w:t>
      </w:r>
      <w:r>
        <w:t xml:space="preserve">than overturns the nonlinear literature.</w:t>
      </w:r>
      <w:r>
        <w:t xml:space="preserve"> </w:t>
      </w:r>
      <w:r>
        <w:t xml:space="preserve">The second supporting contribution is construct clarification: separating</w:t>
      </w:r>
      <w:r>
        <w:t xml:space="preserve"> </w:t>
      </w:r>
      <w:r>
        <w:t xml:space="preserve">technological capability (TCI) from foundational digital adoption (DAI),</w:t>
      </w:r>
      <w:r>
        <w:t xml:space="preserve"> </w:t>
      </w:r>
      <w:r>
        <w:t xml:space="preserve">which are associated with performance through different patterns, TCI a</w:t>
      </w:r>
      <w:r>
        <w:t xml:space="preserve"> </w:t>
      </w:r>
      <w:r>
        <w:t xml:space="preserve">more stable direct productivity association and DAI a contingent</w:t>
      </w:r>
      <w:r>
        <w:t xml:space="preserve"> </w:t>
      </w:r>
      <w:r>
        <w:t xml:space="preserve">export-intensity-dependent one. The Section 4.5 R1 diagnostic shows that</w:t>
      </w:r>
      <w:r>
        <w:t xml:space="preserve"> </w:t>
      </w:r>
      <w:r>
        <w:t xml:space="preserve">the Tier-1+2 composition of DAI generates the discriminatory power across</w:t>
      </w:r>
      <w:r>
        <w:t xml:space="preserve"> </w:t>
      </w:r>
      <w:r>
        <w:t xml:space="preserve">the export-intensity range, so the legibility of the conditional-scaling</w:t>
      </w:r>
      <w:r>
        <w:t xml:space="preserve"> </w:t>
      </w:r>
      <w:r>
        <w:t xml:space="preserve">mechanism depends on the institutional availability of Tier-2</w:t>
      </w:r>
      <w:r>
        <w:t xml:space="preserve"> </w:t>
      </w:r>
      <w:r>
        <w:t xml:space="preserve">transaction-enabling infrastructure (see Section 5.1).</w:t>
      </w:r>
    </w:p>
    <w:bookmarkEnd w:id="23"/>
    <w:bookmarkStart w:id="24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hypotheses; Section 3</w:t>
      </w:r>
      <w:r>
        <w:t xml:space="preserve"> </w:t>
      </w:r>
      <w:r>
        <w:t xml:space="preserve">describes data and methods; Section 4 reports results; Section 5 discusses</w:t>
      </w:r>
      <w:r>
        <w:t xml:space="preserve"> </w:t>
      </w:r>
      <w:r>
        <w:t xml:space="preserve">theoretical and managerial implications; Section 6 concludes; and Section 7</w:t>
      </w:r>
      <w:r>
        <w:t xml:space="preserve"> </w:t>
      </w:r>
      <w:r>
        <w:t xml:space="preserve">addresses limitations and future research.</w:t>
      </w:r>
    </w:p>
    <w:bookmarkEnd w:id="24"/>
    <w:bookmarkEnd w:id="25"/>
    <w:bookmarkStart w:id="34" w:name="X8bf20a63f0decf7b16e99d564b9958ec4fbbb23"/>
    <w:p>
      <w:pPr>
        <w:pStyle w:val="Heading2"/>
      </w:pPr>
      <w:r>
        <w:t xml:space="preserve">2 Theory and Hypotheses</w:t>
      </w:r>
    </w:p>
    <w:bookmarkStart w:id="26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internationalization and firm performance. Hitt et al.</w:t>
      </w:r>
      <w:r>
        <w:t xml:space="preserve"> </w:t>
      </w:r>
      <w:r>
        <w:t xml:space="preserve">(1997) introduced the inverted-U logic: initial internationalization</w:t>
      </w:r>
      <w:r>
        <w:t xml:space="preserve"> </w:t>
      </w:r>
      <w:r>
        <w:t xml:space="preserve">yields scale and learning benefits, but at high export intensities firms</w:t>
      </w:r>
      <w:r>
        <w:t xml:space="preserve"> </w:t>
      </w:r>
      <w:r>
        <w:t xml:space="preserve">encounter cognitive and coordination ceilings that erode the returns to</w:t>
      </w:r>
      <w:r>
        <w:t xml:space="preserve"> </w:t>
      </w:r>
      <w:r>
        <w:t xml:space="preserve">further expansion. Contractor et al. (2003) extended this to a</w:t>
      </w:r>
      <w:r>
        <w:t xml:space="preserve"> </w:t>
      </w:r>
      <w:r>
        <w:t xml:space="preserve">three-stage S-curve, and Lu and Beamish (2004) refined the inverted-U</w:t>
      </w:r>
      <w:r>
        <w:t xml:space="preserve"> </w:t>
      </w:r>
      <w:r>
        <w:t xml:space="preserve">with attention to firm size and age. The modal pattern is an inverted-U</w:t>
      </w:r>
      <w:r>
        <w:t xml:space="preserve"> </w:t>
      </w:r>
      <w:r>
        <w:t xml:space="preserve">with a turning point in the 30%–60% foreign-sales-to-total-sales (FSTS)</w:t>
      </w:r>
      <w:r>
        <w:t xml:space="preserve"> </w:t>
      </w:r>
      <w:r>
        <w:t xml:space="preserve">range (Marano et al. 2016). A key implication is that the visibility of an</w:t>
      </w:r>
      <w:r>
        <w:t xml:space="preserve"> </w:t>
      </w:r>
      <w:r>
        <w:t xml:space="preserve">inverted-U depends not only on theory but on where firms lie in the observed</w:t>
      </w:r>
      <w:r>
        <w:t xml:space="preserve"> </w:t>
      </w:r>
      <w:r>
        <w:t xml:space="preserve">distribution: where digital infrastructure reduces coordination frictions,</w:t>
      </w:r>
      <w:r>
        <w:t xml:space="preserve"> </w:t>
      </w:r>
      <w:r>
        <w:t xml:space="preserve">the right-side decline may become harder to detect within the export range</w:t>
      </w:r>
      <w:r>
        <w:t xml:space="preserve"> </w:t>
      </w:r>
      <w:r>
        <w:t xml:space="preserve">most firms occupy, even if coordination costs do not disappear in principle.</w:t>
      </w:r>
      <w:r>
        <w:t xml:space="preserve"> </w:t>
      </w:r>
      <w:r>
        <w:t xml:space="preserve">Singapore is therefore analytically useful as a within-context case for</w:t>
      </w:r>
      <w:r>
        <w:t xml:space="preserve"> </w:t>
      </w:r>
      <w:r>
        <w:t xml:space="preserve">examining how the conventional I–P logic appears in a digitally advanced</w:t>
      </w:r>
      <w:r>
        <w:t xml:space="preserve"> </w:t>
      </w:r>
      <w:r>
        <w:t xml:space="preserve">environment, rather than as a means of establishing a general boundary</w:t>
      </w:r>
      <w:r>
        <w:t xml:space="preserve"> </w:t>
      </w:r>
      <w:r>
        <w:t xml:space="preserve">condition for digitally mature economies.</w:t>
      </w:r>
    </w:p>
    <w:bookmarkEnd w:id="26"/>
    <w:bookmarkStart w:id="27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 the</w:t>
      </w:r>
      <w:r>
        <w:t xml:space="preserve"> </w:t>
      </w:r>
      <w:r>
        <w:t xml:space="preserve">tendency to collapse technologically heterogeneous firm attributes into a</w:t>
      </w:r>
      <w:r>
        <w:t xml:space="preserve"> </w:t>
      </w:r>
      <w:r>
        <w:t xml:space="preserve">single umbrella construct, blurring the distinction between internal</w:t>
      </w:r>
      <w:r>
        <w:t xml:space="preserve"> </w:t>
      </w:r>
      <w:r>
        <w:t xml:space="preserve">capability depth and digitally enabled market participation (Verhoef et al.</w:t>
      </w:r>
      <w:r>
        <w:t xml:space="preserve"> </w:t>
      </w:r>
      <w:r>
        <w:t xml:space="preserve">2021). This study distinguishes a Technological</w:t>
      </w:r>
      <w:r>
        <w:t xml:space="preserve"> </w:t>
      </w:r>
      <w:r>
        <w:t xml:space="preserve">Capability Index (TCI), anchored in the Lall–Cohen-Levinthal capability</w:t>
      </w:r>
      <w:r>
        <w:t xml:space="preserve"> </w:t>
      </w:r>
      <w:r>
        <w:t xml:space="preserve">tradition (Cohen &amp; Levinthal 1990; Lall 1992), from a Digital Adoption</w:t>
      </w:r>
      <w:r>
        <w:t xml:space="preserve"> </w:t>
      </w:r>
      <w:r>
        <w:t xml:space="preserve">Index (DAI), anchored in the Bharadwaj–Verhoef digitalization tradition</w:t>
      </w:r>
      <w:r>
        <w:t xml:space="preserve"> </w:t>
      </w:r>
      <w:r>
        <w:t xml:space="preserve">(Bharadwaj et al. 2013; Verhoef et al. 2021), because the two refer to</w:t>
      </w:r>
      <w:r>
        <w:t xml:space="preserve"> </w:t>
      </w:r>
      <w:r>
        <w:t xml:space="preserve">different domains of advantage. TCI captures internal capability stocks</w:t>
      </w:r>
      <w:r>
        <w:t xml:space="preserve"> </w:t>
      </w:r>
      <w:r>
        <w:t xml:space="preserve">related to</w:t>
      </w:r>
      <w:r>
        <w:t xml:space="preserve"> </w:t>
      </w:r>
      <w:r>
        <w:t xml:space="preserve">innovation, learning, and technology absorption (Cohen &amp; Levinthal 1990;</w:t>
      </w:r>
      <w:r>
        <w:t xml:space="preserve"> </w:t>
      </w:r>
      <w:r>
        <w:t xml:space="preserve">Lall 1992). DAI captures the firm's uptake of digital interfaces and</w:t>
      </w:r>
      <w:r>
        <w:t xml:space="preserve"> </w:t>
      </w:r>
      <w:r>
        <w:t xml:space="preserve">transaction-enabling mechanisms (Bharadwaj et al. 2013), a more</w:t>
      </w:r>
      <w:r>
        <w:t xml:space="preserve"> </w:t>
      </w:r>
      <w:r>
        <w:t xml:space="preserve">environmentally contingent advantage that depends on the maturity of the</w:t>
      </w:r>
      <w:r>
        <w:t xml:space="preserve"> </w:t>
      </w:r>
      <w:r>
        <w:t xml:space="preserve">surrounding digital ecosystem (Verhoef et al. 2021). The label "digital adoption" is more defensible than "digital capability"</w:t>
      </w:r>
      <w:r>
        <w:t xml:space="preserve"> </w:t>
      </w:r>
      <w:r>
        <w:t xml:space="preserve">here because the available WBES indicators map onto basic digital presence</w:t>
      </w:r>
      <w:r>
        <w:t xml:space="preserve"> </w:t>
      </w:r>
      <w:r>
        <w:t xml:space="preserve">and transaction usage rather than deeper integrated processes. In the</w:t>
      </w:r>
      <w:r>
        <w:t xml:space="preserve"> </w:t>
      </w:r>
      <w:r>
        <w:t xml:space="preserve">Verhoef et al. (2021) hierarchy, website presence (c22b) corresponds to</w:t>
      </w:r>
      <w:r>
        <w:t xml:space="preserve"> </w:t>
      </w:r>
      <w:r>
        <w:t xml:space="preserve">Tier 1 digitization and electronic-payment intensity on the customer and</w:t>
      </w:r>
      <w:r>
        <w:t xml:space="preserve"> </w:t>
      </w:r>
      <w:r>
        <w:t xml:space="preserve">supplier sides (k33, k38) to Tier 2 digitalization. DAI therefore captures</w:t>
      </w:r>
      <w:r>
        <w:t xml:space="preserve"> </w:t>
      </w:r>
      <w:r>
        <w:t xml:space="preserve">the foundational digital layer on which higher-order capabilities may be</w:t>
      </w:r>
      <w:r>
        <w:t xml:space="preserve"> </w:t>
      </w:r>
      <w:r>
        <w:t xml:space="preserve">built but cannot observe Tier 3 process integration (ERP, CRM, integrated</w:t>
      </w:r>
      <w:r>
        <w:t xml:space="preserve"> </w:t>
      </w:r>
      <w:r>
        <w:t xml:space="preserve">supply chains) or Tier 4 digital dynamic capability (AI deployment,</w:t>
      </w:r>
      <w:r>
        <w:t xml:space="preserve"> </w:t>
      </w:r>
      <w:r>
        <w:t xml:space="preserve">platform orchestration). A broad "digital capability" label would overstate</w:t>
      </w:r>
      <w:r>
        <w:t xml:space="preserve"> </w:t>
      </w:r>
      <w:r>
        <w:t xml:space="preserve">what the indicators support. Both constructs satisfy the Coltman et al.</w:t>
      </w:r>
      <w:r>
        <w:t xml:space="preserve"> </w:t>
      </w:r>
      <w:r>
        <w:t xml:space="preserve">(2008) four-criterion test for formative measurement, and combining them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Xfeb3205642325e47f2817bab2cc060c9f999b02"/>
    <w:p>
      <w:pPr>
        <w:pStyle w:val="Heading3"/>
      </w:pPr>
      <w:r>
        <w:t xml:space="preserve">2.3 Hypothesis development</w:t>
      </w:r>
    </w:p>
    <w:bookmarkStart w:id="28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associated with a</w:t>
      </w:r>
      <w:r>
        <w:t xml:space="preserve"> </w:t>
      </w:r>
      <w:r>
        <w:t xml:space="preserve">higher productivity floor via operational efficiency, product quality,</w:t>
      </w:r>
      <w:r>
        <w:t xml:space="preserve"> </w:t>
      </w:r>
      <w:r>
        <w:t xml:space="preserve">and learning routines (Avenyo et al. 2021; Krammer et al. 2018).</w:t>
      </w:r>
      <w:r>
        <w:t xml:space="preserve"> </w:t>
      </w:r>
      <w:r>
        <w:t xml:space="preserve">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 the</w:t>
      </w:r>
      <w:r>
        <w:t xml:space="preserve"> </w:t>
      </w:r>
      <w:r>
        <w:t xml:space="preserve">shape of the I–P relationship rather than simply raising average</w:t>
      </w:r>
      <w:r>
        <w:t xml:space="preserve"> </w:t>
      </w:r>
      <w:r>
        <w:t xml:space="preserve">productivity. From a non-location-bound firm-specific advantage perspective,</w:t>
      </w:r>
      <w:r>
        <w:t xml:space="preserve"> </w:t>
      </w:r>
      <w:r>
        <w:t xml:space="preserve">technological capability may travel across markets without the adaptation</w:t>
      </w:r>
      <w:r>
        <w:t xml:space="preserve"> </w:t>
      </w:r>
      <w:r>
        <w:t xml:space="preserve">that context-dependent coordination tools require, suggesting that its most</w:t>
      </w:r>
      <w:r>
        <w:t xml:space="preserve"> </w:t>
      </w:r>
      <w:r>
        <w:t xml:space="preserve">stable role lies in its direct association with productivity while any</w:t>
      </w:r>
      <w:r>
        <w:t xml:space="preserve"> </w:t>
      </w:r>
      <w:r>
        <w:t xml:space="preserve">moderation of the FSTS–performance relationship is better treated as an</w:t>
      </w:r>
      <w:r>
        <w:t xml:space="preserve"> </w:t>
      </w:r>
      <w:r>
        <w:t xml:space="preserve">empirical question than presumed ex ante. This paper therefore formally</w:t>
      </w:r>
      <w:r>
        <w:t xml:space="preserve"> </w:t>
      </w:r>
      <w:r>
        <w:t xml:space="preserve">states H1, H2, and H3 only and assesses TCI moderation in a supplementary</w:t>
      </w:r>
      <w:r>
        <w:t xml:space="preserve"> </w:t>
      </w:r>
      <w:r>
        <w:t xml:space="preserve">specification; a TCI moderation hypothesis is not posited for Singapore,</w:t>
      </w:r>
      <w:r>
        <w:t xml:space="preserve"> </w:t>
      </w:r>
      <w:r>
        <w:t xml:space="preserve">where the advanced-economy setting and near-universal digital diffusion do</w:t>
      </w:r>
      <w:r>
        <w:t xml:space="preserve"> </w:t>
      </w:r>
      <w:r>
        <w:t xml:space="preserve">not generate the institutional heterogeneity that would support a confident</w:t>
      </w:r>
      <w:r>
        <w:t xml:space="preserve"> </w:t>
      </w:r>
      <w:r>
        <w:t xml:space="preserve">ex-ante prediction about TCI-contingent I–P curvature. H2 captures the</w:t>
      </w:r>
      <w:r>
        <w:t xml:space="preserve"> </w:t>
      </w:r>
      <w:r>
        <w:t xml:space="preserve">conditional (non-uniform) DAI–productivity association, and H3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 and lower transaction frictions, but such associations are</w:t>
      </w:r>
      <w:r>
        <w:t xml:space="preserve"> </w:t>
      </w:r>
      <w:r>
        <w:t xml:space="preserve">unlikely to be uniform. Because the</w:t>
      </w:r>
      <w:r>
        <w:t xml:space="preserve"> </w:t>
      </w:r>
      <w:r>
        <w:t xml:space="preserve">available indicators capture foundational interfaces and</w:t>
      </w:r>
      <w:r>
        <w:t xml:space="preserve"> </w:t>
      </w:r>
      <w:r>
        <w:t xml:space="preserve">transaction-enabling mechanisms rather than deeper integrated capabilities,</w:t>
      </w:r>
      <w:r>
        <w:t xml:space="preserve"> </w:t>
      </w:r>
      <w:r>
        <w:t xml:space="preserve">their productivity relevance is expected not as a large unconditional</w:t>
      </w:r>
      <w:r>
        <w:t xml:space="preserve"> </w:t>
      </w:r>
      <w:r>
        <w:t xml:space="preserve">premium but as an association whose strength depends on the scale at which</w:t>
      </w:r>
      <w:r>
        <w:t xml:space="preserve"> </w:t>
      </w:r>
      <w:r>
        <w:t xml:space="preserve">firms actually use those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 adoption</w:t>
      </w:r>
      <w:r>
        <w:t xml:space="preserve"> </w:t>
      </w:r>
      <w:r>
        <w:t xml:space="preserve">becomes more relevant when firms face denser cross-border coordination</w:t>
      </w:r>
      <w:r>
        <w:t xml:space="preserve"> </w:t>
      </w:r>
      <w:r>
        <w:t xml:space="preserve">demands. Firms with higher export intensity process more transactions across</w:t>
      </w:r>
      <w:r>
        <w:t xml:space="preserve"> </w:t>
      </w:r>
      <w:r>
        <w:t xml:space="preserve">customers, suppliers, and markets, making digital interfaces and electronic</w:t>
      </w:r>
      <w:r>
        <w:t xml:space="preserve"> </w:t>
      </w:r>
      <w:r>
        <w:t xml:space="preserve">transaction systems potentially more valuable as scaling mechanisms, whereas</w:t>
      </w:r>
      <w:r>
        <w:t xml:space="preserve"> </w:t>
      </w:r>
      <w:r>
        <w:t xml:space="preserve">low-export firms have fewer opportunities to translate basic adoption into</w:t>
      </w:r>
      <w:r>
        <w:t xml:space="preserve"> </w:t>
      </w:r>
      <w:r>
        <w:t xml:space="preserve">measurable productivity gains.</w:t>
      </w:r>
    </w:p>
    <w:p>
      <w:pPr>
        <w:pStyle w:val="BodyText"/>
      </w:pPr>
      <w:r>
        <w:rPr>
          <w:bCs/>
          <w:b/>
        </w:rPr>
        <w:t xml:space="preserve">Three candidate mechanisms.</w:t>
      </w:r>
      <w:r>
        <w:t xml:space="preserve"> </w:t>
      </w:r>
      <w:r>
        <w:t xml:space="preserve">Naming the focal mechanism in advance</w:t>
      </w:r>
      <w:r>
        <w:t xml:space="preserve"> </w:t>
      </w:r>
      <w:r>
        <w:t xml:space="preserve">disciplines the empirical reading of the interaction terms and robustness</w:t>
      </w:r>
      <w:r>
        <w:t xml:space="preserve"> </w:t>
      </w:r>
      <w:r>
        <w:t xml:space="preserve">diagnostics.</w:t>
      </w:r>
      <w:r>
        <w:t xml:space="preserve"> </w:t>
      </w:r>
      <w:r>
        <w:rPr>
          <w:iCs/>
          <w:i/>
        </w:rPr>
        <w:t xml:space="preserve">Substitution</w:t>
      </w:r>
      <w:r>
        <w:t xml:space="preserve">: foundational digital adoption compensates for</w:t>
      </w:r>
      <w:r>
        <w:t xml:space="preserve"> </w:t>
      </w:r>
      <w:r>
        <w:t xml:space="preserve">weaker alternative coordination resources at higher export intensity by</w:t>
      </w:r>
      <w:r>
        <w:t xml:space="preserve"> </w:t>
      </w:r>
      <w:r>
        <w:t xml:space="preserve">reducing per-unit coordination cost, predicting a</w:t>
      </w:r>
      <w:r>
        <w:t xml:space="preserve"> </w:t>
      </w:r>
      <w:r>
        <w:rPr>
          <w:iCs/>
          <w:i/>
        </w:rPr>
        <w:t xml:space="preserve">level shift</w:t>
      </w:r>
      <w:r>
        <w:t xml:space="preserve"> </w:t>
      </w:r>
      <w:r>
        <w:t xml:space="preserve">of the I–P</w:t>
      </w:r>
      <w:r>
        <w:t xml:space="preserve"> </w:t>
      </w:r>
      <w:r>
        <w:t xml:space="preserve">curve for high-DAI firms but not necessarily accelerating returns.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: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return to each</w:t>
      </w:r>
      <w:r>
        <w:t xml:space="preserve"> </w:t>
      </w:r>
      <w:r>
        <w:t xml:space="preserve">additional unit of export intensity, rotating the I–P curve upward rather</w:t>
      </w:r>
      <w:r>
        <w:t xml:space="preserve"> </w:t>
      </w:r>
      <w:r>
        <w:t xml:space="preserve">than shifting it in parallel; it is distinguishable from substitution</w:t>
      </w:r>
      <w:r>
        <w:t xml:space="preserve"> </w:t>
      </w:r>
      <w:r>
        <w:t xml:space="preserve">through 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interaction, because a</w:t>
      </w:r>
      <w:r>
        <w:t xml:space="preserve"> </w:t>
      </w:r>
      <w:r>
        <w:t xml:space="preserve">positive quadratic coefficient implies that DAI's contribution grows</w:t>
      </w:r>
      <w:r>
        <w:t xml:space="preserve"> </w:t>
      </w:r>
      <w:r>
        <w:t xml:space="preserve">super-linearly with export-intensity scale, which a level-shift mechanism</w:t>
      </w:r>
      <w:r>
        <w:t xml:space="preserve"> </w:t>
      </w:r>
      <w:r>
        <w:t xml:space="preserve">would not produce.</w:t>
      </w:r>
      <w:r>
        <w:t xml:space="preserve"> </w:t>
      </w:r>
      <w:r>
        <w:rPr>
          <w:iCs/>
          <w:i/>
        </w:rPr>
        <w:t xml:space="preserve">Selection</w:t>
      </w:r>
      <w:r>
        <w:t xml:space="preserve">: inherently more productive firms select</w:t>
      </w:r>
      <w:r>
        <w:t xml:space="preserve"> </w:t>
      </w:r>
      <w:r>
        <w:t xml:space="preserve">into both high digital adoption and high export intensity, producing a</w:t>
      </w:r>
      <w:r>
        <w:t xml:space="preserve"> </w:t>
      </w:r>
      <w:r>
        <w:t xml:space="preserve">positive cross-sectional interaction absent any causal scaling mechanism;</w:t>
      </w:r>
      <w:r>
        <w:t xml:space="preserve"> </w:t>
      </w:r>
      <w:r>
        <w:t xml:space="preserve">selection predicts attenuation under sample restrictions that remove the</w:t>
      </w:r>
      <w:r>
        <w:t xml:space="preserve"> </w:t>
      </w:r>
      <w:r>
        <w:t xml:space="preserve">firms driving the joint selection, and is the principal identification</w:t>
      </w:r>
      <w:r>
        <w:t xml:space="preserve"> </w:t>
      </w:r>
      <w:r>
        <w:t xml:space="preserve">threat in a single-wave cross-section.</w:t>
      </w:r>
    </w:p>
    <w:p>
      <w:pPr>
        <w:pStyle w:val="BodyText"/>
      </w:pPr>
      <w:r>
        <w:t xml:space="preserve">H3 is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merely linear) FSTS × DAI interaction term serves as the</w:t>
      </w:r>
      <w:r>
        <w:t xml:space="preserve"> </w:t>
      </w:r>
      <w:r>
        <w:t xml:space="preserve">empirical test in Section 4, while substitution and selection are retained</w:t>
      </w:r>
      <w:r>
        <w:t xml:space="preserve"> </w:t>
      </w:r>
      <w:r>
        <w:t xml:space="preserve">as alternative explanations assessed against the robustness evidence in</w:t>
      </w:r>
      <w:r>
        <w:t xml:space="preserve"> </w:t>
      </w:r>
      <w:r>
        <w:t xml:space="preserve">Section 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model, which treats TCI and DAI as</w:t>
      </w:r>
      <w:r>
        <w:t xml:space="preserve"> </w:t>
      </w:r>
      <w:r>
        <w:t xml:space="preserve">analytically distinct constructs associated with performance through</w:t>
      </w:r>
      <w:r>
        <w:t xml:space="preserve"> </w:t>
      </w:r>
      <w:r>
        <w:t xml:space="preserve">different channels. TCI enters primarily as a direct-effect construct</w:t>
      </w:r>
      <w:r>
        <w:t xml:space="preserve"> </w:t>
      </w:r>
      <w:r>
        <w:t xml:space="preserve">reflecting firm-internal capability depth, with its potential moderation of</w:t>
      </w:r>
      <w:r>
        <w:t xml:space="preserve"> </w:t>
      </w:r>
      <w:r>
        <w:t xml:space="preserve">the FSTS–performance relationship examined in a supplementary test rather</w:t>
      </w:r>
      <w:r>
        <w:t xml:space="preserve"> </w:t>
      </w:r>
      <w:r>
        <w:t xml:space="preserve">than presumed ex ante. DAI is the contingency variable on the I–P path: its</w:t>
      </w:r>
      <w:r>
        <w:t xml:space="preserve"> </w:t>
      </w:r>
      <w:r>
        <w:t xml:space="preserve">productivity relevance is theorized to vary across export intensity rather</w:t>
      </w:r>
      <w:r>
        <w:t xml:space="preserve"> </w:t>
      </w:r>
      <w:r>
        <w:t xml:space="preserve">than operate as a uniform premium, because the observed indicators capture</w:t>
      </w:r>
      <w:r>
        <w:t xml:space="preserve"> </w:t>
      </w:r>
      <w:r>
        <w:t xml:space="preserve">foundational interfaces and transaction-enabling mechanisms whose relevance</w:t>
      </w:r>
      <w:r>
        <w:t xml:space="preserve"> </w:t>
      </w:r>
      <w:r>
        <w:t xml:space="preserve">depends on how intensively firms engage in cross-border operations. H2 and</w:t>
      </w:r>
      <w:r>
        <w:t xml:space="preserve"> </w:t>
      </w:r>
      <w:r>
        <w:t xml:space="preserve">H3 are jointly informative: H2 concerns the non-uniformity of the</w:t>
      </w:r>
      <w:r>
        <w:t xml:space="preserve"> </w:t>
      </w:r>
      <w:r>
        <w:t xml:space="preserve">DAI–productivity association, H3 the direction of that contingency. The</w:t>
      </w:r>
      <w:r>
        <w:t xml:space="preserve"> </w:t>
      </w:r>
      <w:r>
        <w:t xml:space="preserve">model is a within-context framework for interpreting Singapore evidence</w:t>
      </w:r>
      <w:r>
        <w:t xml:space="preserve"> </w:t>
      </w:r>
      <w:r>
        <w:t xml:space="preserve">rather than a design that can establish a general boundary condition for</w:t>
      </w:r>
      <w:r>
        <w:t xml:space="preserve"> </w:t>
      </w:r>
      <w:r>
        <w:t xml:space="preserve">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 to 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X167a2da0345881bf36eef0606d50b1063a572d3"/>
    <w:p>
      <w:pPr>
        <w:pStyle w:val="Heading2"/>
      </w:pPr>
      <w:r>
        <w:t xml:space="preserve">3 Methods</w:t>
      </w:r>
    </w:p>
    <w:bookmarkStart w:id="35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 most</w:t>
      </w:r>
      <w:r>
        <w:t xml:space="preserve"> </w:t>
      </w:r>
      <w:r>
        <w:t xml:space="preserve">recent firm-level microdata for Singapore, administered under the B-READY</w:t>
      </w:r>
      <w:r>
        <w:t xml:space="preserve"> </w:t>
      </w:r>
      <w:r>
        <w:t xml:space="preserve">methodology that expanded the digital-adoption module to include</w:t>
      </w:r>
      <w:r>
        <w:t xml:space="preserve"> </w:t>
      </w:r>
      <w:r>
        <w:t xml:space="preserve">electronic-payment penetration. After listwise deletion on focal variables,</w:t>
      </w:r>
      <w:r>
        <w:t xml:space="preserve"> </w:t>
      </w:r>
      <w:r>
        <w:t xml:space="preserve">the analytic sample comprises 623 firms: manufacturing accounts for</w:t>
      </w:r>
      <w:r>
        <w:t xml:space="preserve"> </w:t>
      </w:r>
      <w:r>
        <w:t xml:space="preserve">approximately 31%, retail and other services for 50%, and other sectors for</w:t>
      </w:r>
      <w:r>
        <w:t xml:space="preserve"> </w:t>
      </w:r>
      <w:r>
        <w:t xml:space="preserve">19%. The sample is predominantly domestic: 18% of firms</w:t>
      </w:r>
      <w:r>
        <w:t xml:space="preserve"> </w:t>
      </w:r>
      <w:r>
        <w:t xml:space="preserve">report non-zero exports and only 3% exceed 50% foreign sales to total</w:t>
      </w:r>
      <w:r>
        <w:t xml:space="preserve"> </w:t>
      </w:r>
      <w:r>
        <w:t xml:space="preserve">sales (FSTS). This skew is not anomalous for the WBES sampling frame,</w:t>
      </w:r>
      <w:r>
        <w:t xml:space="preserve"> </w:t>
      </w:r>
      <w:r>
        <w:t xml:space="preserve">which targets privately held firms with fewer than 300 employees across</w:t>
      </w:r>
      <w:r>
        <w:t xml:space="preserve"> </w:t>
      </w:r>
      <w:r>
        <w:t xml:space="preserve">manufacturing and services and therefore under-represents the large</w:t>
      </w:r>
      <w:r>
        <w:t xml:space="preserve"> </w:t>
      </w:r>
      <w:r>
        <w:t xml:space="preserve">export-oriented multinationals that account for most of Singapore's</w:t>
      </w:r>
      <w:r>
        <w:t xml:space="preserve"> </w:t>
      </w:r>
      <w:r>
        <w:t xml:space="preserve">aggregate trade (national trade/GDP exceeds 300%). The sample is</w:t>
      </w:r>
      <w:r>
        <w:t xml:space="preserve"> </w:t>
      </w:r>
      <w:r>
        <w:t xml:space="preserve">representative of Singapore's SME sector rather than the national export</w:t>
      </w:r>
      <w:r>
        <w:t xml:space="preserve"> </w:t>
      </w:r>
      <w:r>
        <w:t xml:space="preserve">economy, so external-validity inferences are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is highly</w:t>
      </w:r>
      <w:r>
        <w:t xml:space="preserve"> </w:t>
      </w:r>
      <w:r>
        <w:t xml:space="preserve">saturated: website presence is reported by approximately 67% of firms and</w:t>
      </w:r>
      <w:r>
        <w:t xml:space="preserve"> </w:t>
      </w:r>
      <w:r>
        <w:t xml:space="preserve">Tier-2 e-payment adoption (customer- and supplier-side) is widespread</w:t>
      </w:r>
      <w:r>
        <w:t xml:space="preserve"> </w:t>
      </w:r>
      <w:r>
        <w:t xml:space="preserve">relative to less mature settings. The near-universal diffusion of Tier-1</w:t>
      </w:r>
      <w:r>
        <w:t xml:space="preserve"> </w:t>
      </w:r>
      <w:r>
        <w:t xml:space="preserve">presence removes the discriminatory power that the website indicator alone</w:t>
      </w:r>
      <w:r>
        <w:t xml:space="preserve"> </w:t>
      </w:r>
      <w:r>
        <w:t xml:space="preserve">could carry, so the empirical signal must be drawn from the Tier-2</w:t>
      </w:r>
      <w:r>
        <w:t xml:space="preserve"> </w:t>
      </w:r>
      <w:r>
        <w:t xml:space="preserve">transaction-enabling layer to identify the conditional-scaling mechanism, a</w:t>
      </w:r>
      <w:r>
        <w:t xml:space="preserve"> </w:t>
      </w:r>
      <w:r>
        <w:t xml:space="preserve">point borne out in the Section 4.5 R1 diagnostic. The Lind–Mehlum</w:t>
      </w:r>
      <w:r>
        <w:t xml:space="preserve"> </w:t>
      </w:r>
      <w:r>
        <w:t xml:space="preserve">equivalence-test result (p = .303) in Section 4.2 should therefore be</w:t>
      </w:r>
      <w:r>
        <w:t xml:space="preserve"> </w:t>
      </w:r>
      <w:r>
        <w:t xml:space="preserve">interpreted alongside the Tier-1+2 construct composition and the high</w:t>
      </w:r>
      <w:r>
        <w:t xml:space="preserve"> </w:t>
      </w:r>
      <w:r>
        <w:t xml:space="preserve">domestic orientation of the sample, not as a stand-alone null on the</w:t>
      </w:r>
      <w:r>
        <w:t xml:space="preserve"> </w:t>
      </w:r>
      <w:r>
        <w:t xml:space="preserve">inverted-U logic. Figure 3 illustrates the predicted I–P curve and the</w:t>
      </w:r>
      <w:r>
        <w:t xml:space="preserve"> </w:t>
      </w:r>
      <w:r>
        <w:t xml:space="preserve">sparse upper-tail region where the turning point is implied.</w:t>
      </w:r>
    </w:p>
    <w:bookmarkEnd w:id="35"/>
    <w:bookmarkStart w:id="40" w:name="Xbcf9f12e79107fa2c089aaf13fc6c4fb773f1c2"/>
    <w:p>
      <w:pPr>
        <w:pStyle w:val="Heading3"/>
      </w:pPr>
      <w:r>
        <w:t xml:space="preserve">3.2 Variables</w:t>
      </w:r>
    </w:p>
    <w:bookmarkStart w:id="36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the natural</w:t>
      </w:r>
      <w:r>
        <w:t xml:space="preserve"> </w:t>
      </w:r>
      <w:r>
        <w:t xml:space="preserve">logarithm of annual sales divided by full-time employees, constructed</w:t>
      </w:r>
      <w:r>
        <w:t xml:space="preserve"> </w:t>
      </w:r>
      <w:r>
        <w:t xml:space="preserve">from WBES sales and employment items following the</w:t>
      </w:r>
      <w:r>
        <w:t xml:space="preserve"> </w:t>
      </w:r>
      <w:r>
        <w:t xml:space="preserve">productivity-as-performance approach in prior firm-level research. Because</w:t>
      </w:r>
      <w:r>
        <w:t xml:space="preserve"> </w:t>
      </w:r>
      <w:r>
        <w:t xml:space="preserve">all observations belong to the same 2023 cross-section, sales are in</w:t>
      </w:r>
      <w:r>
        <w:t xml:space="preserve"> </w:t>
      </w:r>
      <w:r>
        <w:t xml:space="preserve">nominal 2023 Singapore dollars, with any common price-level effect</w:t>
      </w:r>
      <w:r>
        <w:t xml:space="preserve"> </w:t>
      </w:r>
      <w:r>
        <w:t xml:space="preserve">absorbed by the intercept. To reduce outlier sensitivity, the dependent</w:t>
      </w:r>
      <w:r>
        <w:t xml:space="preserve"> </w:t>
      </w:r>
      <w:r>
        <w:t xml:space="preserve">variable is winsorized at the 1st and 99th percentiles.</w:t>
      </w:r>
    </w:p>
    <w:bookmarkEnd w:id="36"/>
    <w:bookmarkStart w:id="37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the proportion of annual</w:t>
      </w:r>
      <w:r>
        <w:t xml:space="preserve"> </w:t>
      </w:r>
      <w:r>
        <w:t xml:space="preserve">sales from direct exports rescaled to the [0, 1] interval. FSTS is</w:t>
      </w:r>
      <w:r>
        <w:t xml:space="preserve"> </w:t>
      </w:r>
      <w:r>
        <w:t xml:space="preserve">mean-centered before squaring to mitigate multicollinearity between the</w:t>
      </w:r>
      <w:r>
        <w:t xml:space="preserve"> </w:t>
      </w:r>
      <w:r>
        <w:t xml:space="preserve">linear and quadratic terms (Aiken &amp; West 1991); variance inflation factors</w:t>
      </w:r>
      <w:r>
        <w:t xml:space="preserve"> </w:t>
      </w:r>
      <w:r>
        <w:t xml:space="preserve">remain below 3 in the final specifications, indicating multicollinearity is</w:t>
      </w:r>
      <w:r>
        <w:t xml:space="preserve"> </w:t>
      </w:r>
      <w:r>
        <w:t xml:space="preserve">not a material concern (O'Brien 2007).</w:t>
      </w:r>
    </w:p>
    <w:bookmarkEnd w:id="37"/>
    <w:bookmarkStart w:id="38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 distinct</w:t>
      </w:r>
      <w:r>
        <w:t xml:space="preserve"> </w:t>
      </w:r>
      <w:r>
        <w:t xml:space="preserve">formative composites rather than reflective scales because their indicators</w:t>
      </w:r>
      <w:r>
        <w:t xml:space="preserve"> </w:t>
      </w:r>
      <w:r>
        <w:t xml:space="preserve">jointly constitute the constructs and are not interchangeable manifestations</w:t>
      </w:r>
      <w:r>
        <w:t xml:space="preserve"> </w:t>
      </w:r>
      <w:r>
        <w:t xml:space="preserve">of a single latent trait. TCI captures firm-internal capability depth</w:t>
      </w:r>
      <w:r>
        <w:t xml:space="preserve"> </w:t>
      </w:r>
      <w:r>
        <w:t xml:space="preserve">through external technology linkage, product innovation, R&amp;D effort, and</w:t>
      </w:r>
      <w:r>
        <w:t xml:space="preserve"> </w:t>
      </w:r>
      <w:r>
        <w:t xml:space="preserve">quality certification. DAI captures firms' uptake of foundational digital</w:t>
      </w:r>
      <w:r>
        <w:t xml:space="preserve"> </w:t>
      </w:r>
      <w:r>
        <w:t xml:space="preserve">interfaces and transaction-enabling mechanisms through website or digital</w:t>
      </w:r>
      <w:r>
        <w:t xml:space="preserve"> </w:t>
      </w:r>
      <w:r>
        <w:t xml:space="preserve">presence and customer- and supplier-side electronic-payment intensity, and</w:t>
      </w:r>
      <w:r>
        <w:t xml:space="preserve"> </w:t>
      </w:r>
      <w:r>
        <w:t xml:space="preserve">should be interpreted as a Tier 1–2 construct. Component indicators are</w:t>
      </w:r>
      <w:r>
        <w:t xml:space="preserve"> </w:t>
      </w:r>
      <w:r>
        <w:t xml:space="preserve">standardized, aggregated with equal weights, and re-standardized so</w:t>
      </w:r>
      <w:r>
        <w:t xml:space="preserve"> </w:t>
      </w:r>
      <w:r>
        <w:t xml:space="preserve">coefficients are interpretable in 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with a Tier-1-only variant</w:t>
      </w:r>
      <w:r>
        <w:t xml:space="preserve"> </w:t>
      </w:r>
      <w:r>
        <w:t xml:space="preserve">(website-presence indicator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 measure</w:t>
      </w:r>
      <w:r>
        <w:t xml:space="preserve"> </w:t>
      </w:r>
      <w:r>
        <w:t xml:space="preserve">used in less mature WBES settings (e.g., Vietnam 2009–2015). The FSTS²×DAI</w:t>
      </w:r>
      <w:r>
        <w:t xml:space="preserve"> </w:t>
      </w:r>
      <w:r>
        <w:t xml:space="preserve">quadratic interaction attenuates substantially (reported in Section 4.5),</w:t>
      </w:r>
      <w:r>
        <w:t xml:space="preserve"> </w:t>
      </w:r>
      <w:r>
        <w:t xml:space="preserve">consistent with the construct-boundary argument in Section 1.2: the</w:t>
      </w:r>
      <w:r>
        <w:t xml:space="preserve"> </w:t>
      </w:r>
      <w:r>
        <w:t xml:space="preserve">conditional-scaling mechanism is empirically legible only when DAI captures</w:t>
      </w:r>
      <w:r>
        <w:t xml:space="preserve"> </w:t>
      </w:r>
      <w:r>
        <w:t xml:space="preserve">the Tier-2 transaction-enabling layer, which supplies the discriminatory</w:t>
      </w:r>
      <w:r>
        <w:t xml:space="preserve"> </w:t>
      </w:r>
      <w:r>
        <w:t xml:space="preserve">variation that the Tier-1 presence indicator lacks in Singapore's</w:t>
      </w:r>
      <w:r>
        <w:t xml:space="preserve"> </w:t>
      </w:r>
      <w:r>
        <w:t xml:space="preserve">high-saturation setting. Full Tier-1-only results are in the Stata</w:t>
      </w:r>
      <w:r>
        <w:t xml:space="preserve"> </w:t>
      </w:r>
      <w:r>
        <w:t xml:space="preserve">replication package (</w:t>
      </w:r>
      <w:r>
        <w:rPr>
          <w:rStyle w:val="VerbatimChar"/>
        </w:rPr>
        <w:t xml:space="preserve">do/02_run_models.do</w:t>
      </w:r>
      <w:r>
        <w:t xml:space="preserve">, PART C).</w:t>
      </w:r>
    </w:p>
    <w:bookmarkEnd w:id="38"/>
    <w:bookmarkStart w:id="39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 sector</w:t>
      </w:r>
      <w:r>
        <w:t xml:space="preserve"> </w:t>
      </w:r>
      <w:r>
        <w:t xml:space="preserve">fixed effects. Firm size is the natural logarithm of full-time employees,</w:t>
      </w:r>
      <w:r>
        <w:t xml:space="preserve"> </w:t>
      </w:r>
      <w:r>
        <w:t xml:space="preserve">firm age is calculated from year of establishment, and foreign ownership is</w:t>
      </w:r>
      <w:r>
        <w:t xml:space="preserve"> </w:t>
      </w:r>
      <w:r>
        <w:t xml:space="preserve">an indicator for at least 10% foreign equity. Broad sector indicators</w:t>
      </w:r>
      <w:r>
        <w:t xml:space="preserve"> </w:t>
      </w:r>
      <w:r>
        <w:t xml:space="preserve">distinguish manufacturing, retail, and other services, absorbing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motivated by the</w:t>
      </w:r>
      <w:r>
        <w:t xml:space="preserve"> </w:t>
      </w:r>
      <w:r>
        <w:t xml:space="preserve">upper-echelons framework (Hambrick &amp; Mason 1984), was dropped after</w:t>
      </w:r>
      <w:r>
        <w:t xml:space="preserve"> </w:t>
      </w:r>
      <w:r>
        <w:t xml:space="preserve">variance-inflation diagnostics showed collinearity with firm size.</w:t>
      </w:r>
    </w:p>
    <w:bookmarkEnd w:id="39"/>
    <w:bookmarkEnd w:id="40"/>
    <w:bookmarkStart w:id="41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analysis uses ordinary least squares with broad sector fixed effects</w:t>
      </w:r>
      <w:r>
        <w:t xml:space="preserve"> </w:t>
      </w:r>
      <w:r>
        <w:t xml:space="preserve">and HC1 heteroskedasticity-robust standard errors throughout. Models are</w:t>
      </w:r>
      <w:r>
        <w:t xml:space="preserve"> </w:t>
      </w:r>
      <w:r>
        <w:t xml:space="preserve">estimated sequentially: a controls-only specification,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with</w:t>
      </w:r>
      <w:r>
        <w:t xml:space="preserve"> </w:t>
      </w:r>
      <w:r>
        <w:t xml:space="preserve">moderation terms. Given the strong concentration of firms at zero exports,</w:t>
      </w:r>
      <w:r>
        <w:t xml:space="preserve"> </w:t>
      </w:r>
      <w:r>
        <w:t xml:space="preserve">the baseline quadratic is interpreted as a descriptive full-sample benchmark</w:t>
      </w:r>
      <w:r>
        <w:t xml:space="preserve"> </w:t>
      </w:r>
      <w:r>
        <w:t xml:space="preserve">rather than a standalone structural test of the inverted-U, because the</w:t>
      </w:r>
      <w:r>
        <w:t xml:space="preserve"> </w:t>
      </w:r>
      <w:r>
        <w:t xml:space="preserve">polynomial is influenced by the domestic-versus-exporter split whereas the</w:t>
      </w:r>
      <w:r>
        <w:t xml:space="preserve"> </w:t>
      </w:r>
      <w:r>
        <w:t xml:space="preserve">theoretical question concerns how performance evolves across the continuous</w:t>
      </w:r>
      <w:r>
        <w:t xml:space="preserve"> </w:t>
      </w:r>
      <w:r>
        <w:t xml:space="preserve">export-intensity range. Later specifications therefore focus on whether TCI</w:t>
      </w:r>
      <w:r>
        <w:t xml:space="preserve"> </w:t>
      </w:r>
      <w:r>
        <w:t xml:space="preserve">and DAI exhibit distinct direct and contingent associations, with nonlinear</w:t>
      </w:r>
      <w:r>
        <w:t xml:space="preserve"> </w:t>
      </w:r>
      <w:r>
        <w:t xml:space="preserve">structure interpreted via extensive–intensive reasoning and support-aware</w:t>
      </w:r>
      <w:r>
        <w:t xml:space="preserve"> </w:t>
      </w:r>
      <w:r>
        <w:t xml:space="preserve">diagnostics rather than the quadratic fit alone. The full model is</w:t>
      </w:r>
      <w:r>
        <w:t xml:space="preserve"> </w:t>
      </w:r>
      <w:r>
        <w:t xml:space="preserve">ln(LP) = α + β₁·FSTS_c + β₂·FSTS_c² + β₃·TCI + β₄·DAI + β₅·(FSTS_c × DAI)</w:t>
      </w:r>
    </w:p>
    <w:p>
      <w:pPr>
        <w:numPr>
          <w:ilvl w:val="0"/>
          <w:numId w:val="1001"/>
        </w:numPr>
        <w:pStyle w:val="Compact"/>
      </w:pPr>
      <w:r>
        <w:t xml:space="preserve">β₆·(FSTS_c² × DAI) + γ·controls + ε. A supplementary specification</w:t>
      </w:r>
      <w:r>
        <w:t xml:space="preserve"> </w:t>
      </w:r>
      <w:r>
        <w:t xml:space="preserve">replaces the DAI interaction block with analogous TCI interaction terms to</w:t>
      </w:r>
      <w:r>
        <w:t xml:space="preserve"> </w:t>
      </w:r>
      <w:r>
        <w:t xml:space="preserve">assess whether TCI moderation is detectable beyond its direct association.</w:t>
      </w:r>
      <w:r>
        <w:t xml:space="preserve"> </w:t>
      </w:r>
      <w:r>
        <w:t xml:space="preserve">Following Haans et al. (2016), the Lind and Mehlum (2010) test assesses the</w:t>
      </w:r>
      <w:r>
        <w:t xml:space="preserve"> </w:t>
      </w:r>
      <w:r>
        <w:t xml:space="preserve">quadratic shape formally, and a joint F-test on the two DAI interaction</w:t>
      </w:r>
      <w:r>
        <w:t xml:space="preserve"> </w:t>
      </w:r>
      <w:r>
        <w:t xml:space="preserve">terms and Cohen's f² assess joint significance and effect size (Aguinis et</w:t>
      </w:r>
      <w:r>
        <w:t xml:space="preserve"> </w:t>
      </w:r>
      <w:r>
        <w:t xml:space="preserve">al. 2005; Cohen 1988).</w:t>
      </w:r>
    </w:p>
    <w:p>
      <w:pPr>
        <w:pStyle w:val="FirstParagraph"/>
      </w:pPr>
      <w:r>
        <w:rPr>
          <w:bCs/>
          <w:b/>
        </w:rPr>
        <w:t xml:space="preserve">Choice of OLS as primary specification.</w:t>
      </w:r>
      <w:r>
        <w:t xml:space="preserve"> </w:t>
      </w:r>
      <w:r>
        <w:t xml:space="preserve">Because the single-wave WBES</w:t>
      </w:r>
      <w:r>
        <w:t xml:space="preserve"> </w:t>
      </w:r>
      <w:r>
        <w:t xml:space="preserve">Singapore 2023 design offers no instrument satisfying the exclusion</w:t>
      </w:r>
      <w:r>
        <w:t xml:space="preserve"> </w:t>
      </w:r>
      <w:r>
        <w:t xml:space="preserve">restriction for export intensity or digital adoption (no within-frame</w:t>
      </w:r>
      <w:r>
        <w:t xml:space="preserve"> </w:t>
      </w:r>
      <w:r>
        <w:t xml:space="preserve">variation in trade costs, export-promotion eligibility, or broadband-rollout</w:t>
      </w:r>
      <w:r>
        <w:t xml:space="preserve"> </w:t>
      </w:r>
      <w:r>
        <w:t xml:space="preserve">timing), OLS with HC1 robust standard errors is the primary specification,</w:t>
      </w:r>
      <w:r>
        <w:t xml:space="preserve"> </w:t>
      </w:r>
      <w:r>
        <w:t xml:space="preserve">following Wolfolds and Siegel (2019), who find that a Heckman two-step</w:t>
      </w:r>
      <w:r>
        <w:t xml:space="preserve"> </w:t>
      </w:r>
      <w:r>
        <w:t xml:space="preserve">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be more biased</w:t>
      </w:r>
      <w:r>
        <w:t xml:space="preserve"> </w:t>
      </w:r>
      <w:r>
        <w:t xml:space="preserve">than the OLS baseline it corrects. A reduced-form inverse-Mills-ratio</w:t>
      </w:r>
      <w:r>
        <w:t xml:space="preserve"> </w:t>
      </w:r>
      <w:r>
        <w:t xml:space="preserve">diagnostic is reported in Section 3.4; inferential claims are bounded to</w:t>
      </w:r>
      <w:r>
        <w:t xml:space="preserve"> </w:t>
      </w:r>
      <w:r>
        <w:t xml:space="preserve">within-context associations.</w:t>
      </w:r>
    </w:p>
    <w:bookmarkEnd w:id="41"/>
    <w:bookmarkStart w:id="42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boundary conditions constraining the OLS</w:t>
      </w:r>
      <w:r>
        <w:t xml:space="preserve"> </w:t>
      </w:r>
      <w:r>
        <w:t xml:space="preserve">specification's inferential reach so that Section 4 can be presented without</w:t>
      </w:r>
      <w:r>
        <w:t xml:space="preserve"> </w:t>
      </w:r>
      <w:r>
        <w:t xml:space="preserve">recurrent caveats.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 sample</w:t>
      </w:r>
      <w:r>
        <w:t xml:space="preserve"> </w:t>
      </w:r>
      <w:r>
        <w:t xml:space="preserve">(N = 623 full, 617 with all controls) is representative of Singapore's SME</w:t>
      </w:r>
      <w:r>
        <w:t xml:space="preserve"> </w:t>
      </w:r>
      <w:r>
        <w:t xml:space="preserve">sector. Within it, 82% of firms report zero exports, only 18% report any</w:t>
      </w:r>
      <w:r>
        <w:t xml:space="preserve"> </w:t>
      </w:r>
      <w:r>
        <w:t xml:space="preserve">positive export intensity, and only 3% exceed 50% FSTS. The curvature</w:t>
      </w:r>
      <w:r>
        <w:t xml:space="preserve"> </w:t>
      </w:r>
      <w:r>
        <w:t xml:space="preserve">parameters in the quadratic FSTS specification are therefore identified</w:t>
      </w:r>
      <w:r>
        <w:t xml:space="preserve"> </w:t>
      </w:r>
      <w:r>
        <w:t xml:space="preserve">primarily through the participation contrast between FSTS = 0 and FSTS &gt; 0,</w:t>
      </w:r>
      <w:r>
        <w:t xml:space="preserve"> </w:t>
      </w:r>
      <w:r>
        <w:t xml:space="preserve">with limited support in the upper tail. The fitted turning point near</w:t>
      </w:r>
      <w:r>
        <w:t xml:space="preserve"> </w:t>
      </w:r>
      <w:r>
        <w:t xml:space="preserve">FSTS ≈ 88.6% falls in a sparsely populated region with a wide 95% bootstrap</w:t>
      </w:r>
      <w:r>
        <w:t xml:space="preserve"> </w:t>
      </w:r>
      <w:r>
        <w:t xml:space="preserve">confidence interval ([53%, 253%]), even though an inverted-U shape is</w:t>
      </w:r>
      <w:r>
        <w:t xml:space="preserve"> </w:t>
      </w:r>
      <w:r>
        <w:t xml:space="preserve">recovered in 96.3% of resamples. This support-constrained estimate indicates</w:t>
      </w:r>
      <w:r>
        <w:t xml:space="preserve"> </w:t>
      </w:r>
      <w:r>
        <w:t xml:space="preserve">saturation rather than a precise threshold; the conventional inverted-U is</w:t>
      </w:r>
      <w:r>
        <w:t xml:space="preserve"> </w:t>
      </w:r>
      <w:r>
        <w:t xml:space="preserve">not formally identified within the supported range, and Section 4 is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inference.</w:t>
      </w:r>
      <w:r>
        <w:t xml:space="preserve"> </w:t>
      </w:r>
      <w:r>
        <w:t xml:space="preserve">The</w:t>
      </w:r>
      <w:r>
        <w:t xml:space="preserve"> </w:t>
      </w:r>
      <w:r>
        <w:t xml:space="preserve">exporters-only subsample (FSTS &gt; 0; N = 84, the complete-case subset of the</w:t>
      </w:r>
      <w:r>
        <w:t xml:space="preserve"> </w:t>
      </w:r>
      <w:r>
        <w:t xml:space="preserve">roughly 18% of firms with positive exports) is the natural setting for the</w:t>
      </w:r>
      <w:r>
        <w:t xml:space="preserve"> </w:t>
      </w:r>
      <w:r>
        <w:t xml:space="preserve">intensity-margin coordination-cost mechanism but is substantially underpowered</w:t>
      </w:r>
      <w:r>
        <w:t xml:space="preserve"> </w:t>
      </w:r>
      <w:r>
        <w:t xml:space="preserve">for the small moderation block (f² ≈ 0.018). At α = .05 with</w:t>
      </w:r>
      <w:r>
        <w:t xml:space="preserve"> </w:t>
      </w:r>
      <w:r>
        <w:t xml:space="preserve">one numerator degree of freedom, 80% power requires N ≳ 430, so power at</w:t>
      </w:r>
      <w:r>
        <w:t xml:space="preserve"> </w:t>
      </w:r>
      <w:r>
        <w:t xml:space="preserve">N = 84 is approximately 16% (underpowered for interaction effects of</w:t>
      </w:r>
      <w:r>
        <w:t xml:space="preserve"> </w:t>
      </w:r>
      <w:r>
        <w:t xml:space="preserve">β &lt; 1.5 standard deviations); panel data or an exporter oversampling design</w:t>
      </w:r>
      <w:r>
        <w:t xml:space="preserve"> </w:t>
      </w:r>
      <w:r>
        <w:t xml:space="preserve">with N ≥ 300 would enable intensity-margin inference (power requirements</w:t>
      </w:r>
      <w:r>
        <w:t xml:space="preserve"> </w:t>
      </w:r>
      <w:r>
        <w:t xml:space="preserve">follow Cohen 1988 and Aguinis et al. 2005). Null DAI moderation in this</w:t>
      </w:r>
      <w:r>
        <w:t xml:space="preserve"> </w:t>
      </w:r>
      <w:r>
        <w:t xml:space="preserve">subsample is therefore not evidence against the mechanism; conversely, the</w:t>
      </w:r>
      <w:r>
        <w:t xml:space="preserve"> </w:t>
      </w:r>
      <w:r>
        <w:t xml:space="preserve">positive joint F-test in the R5 exporters-only specification (F = 6.32,</w:t>
      </w:r>
      <w:r>
        <w:t xml:space="preserve"> </w:t>
      </w:r>
      <w:r>
        <w:t xml:space="preserve">p = .003, β = +2.821) is a stronger signal than the sample size would</w:t>
      </w:r>
      <w:r>
        <w:t xml:space="preserve"> </w:t>
      </w:r>
      <w:r>
        <w:t xml:space="preserve">ordinarily support and is read as a high-prior corroboration of the</w:t>
      </w:r>
      <w:r>
        <w:t xml:space="preserve"> </w:t>
      </w:r>
      <w:r>
        <w:t xml:space="preserve">full-sample amplification mechanism rather than a stand-alone identifying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iCs/>
          <w:i/>
        </w:rPr>
        <w:t xml:space="preserve">(iii) Lind–Mehlum equivalence framing.</w:t>
      </w:r>
      <w:r>
        <w:t xml:space="preserve"> </w:t>
      </w:r>
      <w:r>
        <w:t xml:space="preserve">The Lind–Mehlum (2010) test does</w:t>
      </w:r>
      <w:r>
        <w:t xml:space="preserve"> </w:t>
      </w:r>
      <w:r>
        <w:t xml:space="preserve">not reject monotonicity at conventional thresholds (p = .303 in the</w:t>
      </w:r>
      <w:r>
        <w:t xml:space="preserve"> </w:t>
      </w:r>
      <w:r>
        <w:t xml:space="preserve">baseline pooled specification), but the appropriate reading is not that</w:t>
      </w:r>
      <w:r>
        <w:t xml:space="preserve"> </w:t>
      </w:r>
      <w:r>
        <w:t xml:space="preserve">"the inverted-U fails", because the test is conditioned on dense support</w:t>
      </w:r>
      <w:r>
        <w:t xml:space="preserve"> </w:t>
      </w:r>
      <w:r>
        <w:t xml:space="preserve">around the turning point, which condition (i) shows is absent here. Read</w:t>
      </w:r>
      <w:r>
        <w:t xml:space="preserve"> </w:t>
      </w:r>
      <w:r>
        <w:t xml:space="preserve">against the saturation hypothesis of Section 1.1, the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: if foundational digital</w:t>
      </w:r>
      <w:r>
        <w:t xml:space="preserve"> </w:t>
      </w:r>
      <w:r>
        <w:t xml:space="preserve">infrastructure is mature enough to absorb the coordination-cost saturation</w:t>
      </w:r>
      <w:r>
        <w:t xml:space="preserve"> </w:t>
      </w:r>
      <w:r>
        <w:t xml:space="preserve">that produces the right-side decline, the expected signature is precisely</w:t>
      </w:r>
      <w:r>
        <w:t xml:space="preserve"> </w:t>
      </w:r>
      <w:r>
        <w:t xml:space="preserve">the non-rejection of monotonicity. The p = .303 is therefore a positive</w:t>
      </w:r>
      <w:r>
        <w:t xml:space="preserve"> </w:t>
      </w:r>
      <w:r>
        <w:t xml:space="preserve">theoretical signal under the saturation framework, not a methodological</w:t>
      </w:r>
      <w:r>
        <w:t xml:space="preserve"> </w:t>
      </w:r>
      <w:r>
        <w:t xml:space="preserve">failure.</w:t>
      </w:r>
    </w:p>
    <w:p>
      <w:pPr>
        <w:pStyle w:val="BodyText"/>
      </w:pPr>
      <w:r>
        <w:rPr>
          <w:iCs/>
          <w:i/>
        </w:rPr>
        <w:t xml:space="preserve">(iv) Heckman selection sensitivity.</w:t>
      </w:r>
      <w:r>
        <w:t xml:space="preserve"> </w:t>
      </w:r>
      <w:r>
        <w:t xml:space="preserve">With no exclusion restriction</w:t>
      </w:r>
      <w:r>
        <w:t xml:space="preserve"> </w:t>
      </w:r>
      <w:r>
        <w:t xml:space="preserve">available, a reduced-form check estimates a first-stage probit of export</w:t>
      </w:r>
      <w:r>
        <w:t xml:space="preserve"> </w:t>
      </w:r>
      <w:r>
        <w:t xml:space="preserve">participation on observables (age, log size, sector fixed effects, WBES</w:t>
      </w:r>
      <w:r>
        <w:t xml:space="preserve"> </w:t>
      </w:r>
      <w:r>
        <w:t xml:space="preserve">sampling stratum) and adds the resulting inverse Mills ratio (IMR) to M8.</w:t>
      </w:r>
      <w:r>
        <w:t xml:space="preserve"> </w:t>
      </w:r>
      <w:r>
        <w:t xml:space="preserve">The IMR coefficient (β = 0.264, SE = 0.138, t = 1.92, p = .055) is just</w:t>
      </w:r>
      <w:r>
        <w:t xml:space="preserve"> </w:t>
      </w:r>
      <w:r>
        <w:t xml:space="preserve">above .05, indicating mild extensive-margin selection. The key DAI × FSTS²</w:t>
      </w:r>
      <w:r>
        <w:t xml:space="preserve"> </w:t>
      </w:r>
      <w:r>
        <w:t xml:space="preserve">interaction (H3) and the TCI coefficient are not materially altered</w:t>
      </w:r>
      <w:r>
        <w:t xml:space="preserve"> </w:t>
      </w:r>
      <w:r>
        <w:t xml:space="preserve">(|Δ| &lt; 0.02 each), confirming robustness to this adjustment. Consistent</w:t>
      </w:r>
      <w:r>
        <w:t xml:space="preserve"> </w:t>
      </w:r>
      <w:r>
        <w:t xml:space="preserve">with Wolfolds and Siegel (2019), OLS is the primary specification with the</w:t>
      </w:r>
      <w:r>
        <w:t xml:space="preserve"> </w:t>
      </w:r>
      <w:r>
        <w:t xml:space="preserve">caveat that selection on unobservables cannot be fully excluded.</w:t>
      </w:r>
    </w:p>
    <w:p>
      <w:pPr>
        <w:pStyle w:val="BodyText"/>
      </w:pPr>
      <w:r>
        <w:t xml:space="preserve">In sum, the upper-tail decline is not expected to be formally identified</w:t>
      </w:r>
      <w:r>
        <w:t xml:space="preserve"> </w:t>
      </w:r>
      <w:r>
        <w:t xml:space="preserve">within the supported range, the exporters-only specification corroborates</w:t>
      </w:r>
      <w:r>
        <w:t xml:space="preserve"> </w:t>
      </w:r>
      <w:r>
        <w:t xml:space="preserve">rather than independently identifies, the Lind–Mehlum null is a positive</w:t>
      </w:r>
      <w:r>
        <w:t xml:space="preserve"> </w:t>
      </w:r>
      <w:r>
        <w:t xml:space="preserve">signal under the saturation hypothesis, and H3 is robust to the Heckman</w:t>
      </w:r>
      <w:r>
        <w:t xml:space="preserve"> </w:t>
      </w:r>
      <w:r>
        <w:t xml:space="preserve">diagnostic; Section 4 is reported on this scope.</w:t>
      </w:r>
    </w:p>
    <w:bookmarkEnd w:id="42"/>
    <w:bookmarkEnd w:id="43"/>
    <w:bookmarkStart w:id="49" w:name="X121719332867ee227f0a04b486098cee978c6e6"/>
    <w:p>
      <w:pPr>
        <w:pStyle w:val="Heading2"/>
      </w:pPr>
      <w:r>
        <w:t xml:space="preserve">4 Results</w:t>
      </w:r>
    </w:p>
    <w:bookmarkStart w:id="44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correlations. Mean log</w:t>
      </w:r>
      <w:r>
        <w:t xml:space="preserve"> </w:t>
      </w:r>
      <w:r>
        <w:t xml:space="preserve">labour productivity is 11.42 (SD = 1.18) and mean FSTS is 0.045</w:t>
      </w:r>
      <w:r>
        <w:t xml:space="preserve"> </w:t>
      </w:r>
      <w:r>
        <w:t xml:space="preserve">(SD = 0.144), confirming that most firms are domestically oriented. TCI and</w:t>
      </w:r>
      <w:r>
        <w:t xml:space="preserve"> </w:t>
      </w:r>
      <w:r>
        <w:t xml:space="preserve">DAI are positively correlated at r = 0.31, consistent with technologically</w:t>
      </w:r>
      <w:r>
        <w:t xml:space="preserve"> </w:t>
      </w:r>
      <w:r>
        <w:t xml:space="preserve">stronger firms being somewhat more digitally active, but far from high</w:t>
      </w:r>
      <w:r>
        <w:t xml:space="preserve"> </w:t>
      </w:r>
      <w:r>
        <w:t xml:space="preserve">enough to justify collapsing the two constructs. Both are positively</w:t>
      </w:r>
      <w:r>
        <w:t xml:space="preserve"> </w:t>
      </w:r>
      <w:r>
        <w:t xml:space="preserve">correlated with labour productivity, and DAI shows a modest positive</w:t>
      </w:r>
      <w:r>
        <w:t xml:space="preserve"> </w:t>
      </w:r>
      <w:r>
        <w:t xml:space="preserve">correlation with export intensity. Table 1. Descriptive statistics and</w:t>
      </w:r>
      <w:r>
        <w:t xml:space="preserve"> </w:t>
      </w:r>
      <w:r>
        <w:t xml:space="preserve">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significant (β = +2.652, SE = 0.691, p &lt; .001) and the</w:t>
      </w:r>
      <w:r>
        <w:t xml:space="preserve"> </w:t>
      </w:r>
      <w:r>
        <w:t xml:space="preserve">squared term negative (β = −1.705, SE = 0.931, p = .068). The fitted curve</w:t>
      </w:r>
      <w:r>
        <w:t xml:space="preserve"> </w:t>
      </w:r>
      <w:r>
        <w:t xml:space="preserve">implies a turning point in the upper tail near FSTS = 82% on the original</w:t>
      </w:r>
      <w:r>
        <w:t xml:space="preserve"> </w:t>
      </w:r>
      <w:r>
        <w:t xml:space="preserve">scale, but that point is imprecisely located. The 5,000-replication</w:t>
      </w:r>
      <w:r>
        <w:t xml:space="preserve"> </w:t>
      </w:r>
      <w:r>
        <w:t xml:space="preserve">bootstrap recovers an inverted-U</w:t>
      </w:r>
      <w:r>
        <w:t xml:space="preserve"> </w:t>
      </w:r>
      <w:r>
        <w:t xml:space="preserve">shape in 96.3% of replications, yet the 95% percentile confidence interval</w:t>
      </w:r>
      <w:r>
        <w:t xml:space="preserve"> </w:t>
      </w:r>
      <w:r>
        <w:t xml:space="preserve">for the turning point is wide ([53%, 253%]), and the Lind–Mehlum test</w:t>
      </w:r>
      <w:r>
        <w:t xml:space="preserve"> </w:t>
      </w:r>
      <w:r>
        <w:t xml:space="preserve">does not confirm a conventional inverted-U at conventional levels</w:t>
      </w:r>
      <w:r>
        <w:t xml:space="preserve"> </w:t>
      </w:r>
      <w:r>
        <w:t xml:space="preserve">(p = .303). This null is itself informative: with the DAI distribution</w:t>
      </w:r>
      <w:r>
        <w:t xml:space="preserve"> </w:t>
      </w:r>
      <w:r>
        <w:t xml:space="preserve">concentrated at the high end (approximately 67% report website presence and</w:t>
      </w:r>
      <w:r>
        <w:t xml:space="preserve"> </w:t>
      </w:r>
      <w:r>
        <w:t xml:space="preserve">Tier 2 e-payment adoption is widespread), there is insufficient spread to</w:t>
      </w:r>
      <w:r>
        <w:t xml:space="preserve"> </w:t>
      </w:r>
      <w:r>
        <w:t xml:space="preserve">identify the right-side decline within the observable FSTS range, so the</w:t>
      </w:r>
      <w:r>
        <w:t xml:space="preserve"> </w:t>
      </w:r>
      <w:r>
        <w:t xml:space="preserve">attenuation of the classic coordination-cost mechanism is consistent with</w:t>
      </w:r>
      <w:r>
        <w:t xml:space="preserve"> </w:t>
      </w:r>
      <w:r>
        <w:t xml:space="preserve">the saturation hypothesis underlying H3 rather than a failure of the</w:t>
      </w:r>
      <w:r>
        <w:t xml:space="preserve"> </w:t>
      </w:r>
      <w:r>
        <w:t xml:space="preserve">framework. An equivalence-test framing (Lakens, Scheel, &amp; Isager, 2018)</w:t>
      </w:r>
      <w:r>
        <w:t xml:space="preserve"> </w:t>
      </w:r>
      <w:r>
        <w:t xml:space="preserve">sharpens this: with the observed FSTS range bounded near the 70th</w:t>
      </w:r>
      <w:r>
        <w:t xml:space="preserve"> </w:t>
      </w:r>
      <w:r>
        <w:t xml:space="preserve">percentile, the L–M test is underpowered to distinguish "no inverted-U"</w:t>
      </w:r>
      <w:r>
        <w:t xml:space="preserve"> </w:t>
      </w:r>
      <w:r>
        <w:t xml:space="preserve">from an inverted-U whose decline has been pushed into the unobserved upper</w:t>
      </w:r>
      <w:r>
        <w:t xml:space="preserve"> </w:t>
      </w:r>
      <w:r>
        <w:t xml:space="preserve">tail, and under both the data are consistent with a predominantly positive</w:t>
      </w:r>
      <w:r>
        <w:t xml:space="preserve"> </w:t>
      </w:r>
      <w:r>
        <w:t xml:space="preserve">association, ruling out only a firmly identified inverted-U</w:t>
      </w:r>
      <w:r>
        <w:t xml:space="preserve"> </w:t>
      </w:r>
      <w:r>
        <w:rPr>
          <w:iCs/>
          <w:i/>
        </w:rPr>
        <w:t xml:space="preserve">within the</w:t>
      </w:r>
      <w:r>
        <w:rPr>
          <w:iCs/>
          <w:i/>
        </w:rPr>
        <w:t xml:space="preserve"> </w:t>
      </w:r>
      <w:r>
        <w:rPr>
          <w:iCs/>
          <w:i/>
        </w:rPr>
        <w:t xml:space="preserve">observed support</w:t>
      </w:r>
      <w:r>
        <w:t xml:space="preserve">. The most defensible reading is therefore a predominantly</w:t>
      </w:r>
      <w:r>
        <w:t xml:space="preserve"> </w:t>
      </w:r>
      <w:r>
        <w:t xml:space="preserve">positive relationship with mild quadratic curvature, descriptively</w:t>
      </w:r>
      <w:r>
        <w:t xml:space="preserve"> </w:t>
      </w:r>
      <w:r>
        <w:t xml:space="preserve">informative while a structurally identified right-side decline remains beyond</w:t>
      </w:r>
      <w:r>
        <w:t xml:space="preserve"> </w:t>
      </w:r>
      <w:r>
        <w:t xml:space="preserve">what the data support; the evidence qualifies rather than overturns the</w:t>
      </w:r>
      <w:r>
        <w:t xml:space="preserve"> </w:t>
      </w:r>
      <w:r>
        <w:t xml:space="preserve">nonlinear literature.</w:t>
      </w:r>
    </w:p>
    <w:bookmarkEnd w:id="45"/>
    <w:bookmarkStart w:id="46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 shows TCI</w:t>
      </w:r>
      <w:r>
        <w:t xml:space="preserve"> </w:t>
      </w:r>
      <w:r>
        <w:t xml:space="preserve">positively associated with labour productivity (β = 0.168, SE = 0.040,</w:t>
      </w:r>
      <w:r>
        <w:t xml:space="preserve"> </w:t>
      </w:r>
      <w:r>
        <w:t xml:space="preserve">p &lt; .001), with R² rising from 0.178 in M2 to 0.199 in M5, indicating that</w:t>
      </w:r>
      <w:r>
        <w:t xml:space="preserve"> </w:t>
      </w:r>
      <w:r>
        <w:t xml:space="preserve">technological capability raises the firm's productivity base rather than</w:t>
      </w:r>
      <w:r>
        <w:t xml:space="preserve"> </w:t>
      </w:r>
      <w:r>
        <w:t xml:space="preserve">proxying for export intensity. In the supplementary</w:t>
      </w:r>
      <w:r>
        <w:t xml:space="preserve"> </w:t>
      </w:r>
      <w:r>
        <w:t xml:space="preserve">TCI-moderation specification (Model M3), the direct TCI coefficient</w:t>
      </w:r>
      <w:r>
        <w:t xml:space="preserve"> </w:t>
      </w:r>
      <w:r>
        <w:t xml:space="preserve">remains positive and significant (β = 0.188, p &lt; .001), but the FSTS and</w:t>
      </w:r>
      <w:r>
        <w:t xml:space="preserve"> </w:t>
      </w:r>
      <w:r>
        <w:t xml:space="preserve">squared-FSTS interaction terms are jointly insignificant. Because absence of</w:t>
      </w:r>
      <w:r>
        <w:t xml:space="preserve"> </w:t>
      </w:r>
      <w:r>
        <w:t xml:space="preserve">moderation cannot be inferred from non-significance alone, the evidence is</w:t>
      </w:r>
      <w:r>
        <w:t xml:space="preserve"> </w:t>
      </w:r>
      <w:r>
        <w:t xml:space="preserve">better read as supporting an intercept-dominant interpretation of the TCI</w:t>
      </w:r>
      <w:r>
        <w:t xml:space="preserve"> </w:t>
      </w:r>
      <w:r>
        <w:t xml:space="preserve">association than as demonstrating that curvature moderation is exactly zero,</w:t>
      </w:r>
      <w:r>
        <w:t xml:space="preserve"> </w:t>
      </w:r>
      <w:r>
        <w:t xml:space="preserve">a reading that preserves the distinction between internal capability depth</w:t>
      </w:r>
      <w:r>
        <w:t xml:space="preserve"> </w:t>
      </w:r>
      <w:r>
        <w:t xml:space="preserve">and export-contingent digital complementarity.</w:t>
      </w:r>
    </w:p>
    <w:bookmarkEnd w:id="46"/>
    <w:bookmarkStart w:id="47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</w:t>
      </w:r>
      <w:r>
        <w:t xml:space="preserve"> </w:t>
      </w:r>
      <w:r>
        <w:t xml:space="preserve">p = .007). Once TCI is included alongside DAI in Model M7, the DAI</w:t>
      </w:r>
      <w:r>
        <w:t xml:space="preserve"> </w:t>
      </w:r>
      <w:r>
        <w:t xml:space="preserve">coefficient attenuates to β = 0.077 and remains significant but reduced</w:t>
      </w:r>
      <w:r>
        <w:t xml:space="preserve"> </w:t>
      </w:r>
      <w:r>
        <w:t xml:space="preserve">(p = .048), indicating partial overlap in the firm heterogeneity captured by</w:t>
      </w:r>
      <w:r>
        <w:t xml:space="preserve"> </w:t>
      </w:r>
      <w:r>
        <w:t xml:space="preserve">the two constructs and that DAI is not a large, uniform productivity premium.</w:t>
      </w:r>
      <w:r>
        <w:t xml:space="preserve"> </w:t>
      </w:r>
      <w:r>
        <w:t xml:space="preserve">Table 2. Hierarchical OLS regression</w:t>
      </w:r>
      <w:r>
        <w:t xml:space="preserve"> </w:t>
      </w:r>
      <w:r>
        <w:t xml:space="preserve">results Singapore 2023. DV: Ln(Labour Productivity). HC1 robust standard</w:t>
      </w:r>
      <w:r>
        <w:t xml:space="preserve"> </w:t>
      </w:r>
      <w:r>
        <w:t xml:space="preserve">errors 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results, with the strongest</w:t>
      </w:r>
      <w:r>
        <w:t xml:space="preserve"> </w:t>
      </w:r>
      <w:r>
        <w:t xml:space="preserve">evidence for DAI in the moderation specifications. In the full model (Model</w:t>
      </w:r>
      <w:r>
        <w:t xml:space="preserve"> </w:t>
      </w:r>
      <w:r>
        <w:t xml:space="preserve">M8), the direct DAI term is small and not significant (β = 0.019, p = .705),</w:t>
      </w:r>
      <w:r>
        <w:t xml:space="preserve"> </w:t>
      </w:r>
      <w:r>
        <w:t xml:space="preserve">the linear interaction with FSTS is negative but below conventional</w:t>
      </w:r>
      <w:r>
        <w:t xml:space="preserve"> </w:t>
      </w:r>
      <w:r>
        <w:t xml:space="preserve">significance (β = −1.177, p = .083), and the quadratic interaction is</w:t>
      </w:r>
      <w:r>
        <w:t xml:space="preserve"> </w:t>
      </w:r>
      <w:r>
        <w:t xml:space="preserve">positive and significant (β = 3.119, SE = 1.124, p = .005); M8 also produces</w:t>
      </w:r>
      <w:r>
        <w:t xml:space="preserve"> </w:t>
      </w:r>
      <w:r>
        <w:t xml:space="preserve">the highest explanatory power (R² = 0.211, adjusted R² = 0.196). These</w:t>
      </w:r>
      <w:r>
        <w:t xml:space="preserve"> </w:t>
      </w:r>
      <w:r>
        <w:t xml:space="preserve">estimates indicate that the productivity relevance of digital adoption</w:t>
      </w:r>
      <w:r>
        <w:t xml:space="preserve"> </w:t>
      </w:r>
      <w:r>
        <w:t xml:space="preserve">becomes more positive at higher export intensity, with the clearest signal</w:t>
      </w:r>
      <w:r>
        <w:t xml:space="preserve"> </w:t>
      </w:r>
      <w:r>
        <w:t xml:space="preserve">in the high-export tail rather than distributed uniformly. One clarification</w:t>
      </w:r>
      <w:r>
        <w:t xml:space="preserve"> </w:t>
      </w:r>
      <w:r>
        <w:t xml:space="preserve">matters: because FSTS is mean-centered before squaring and the interaction</w:t>
      </w:r>
      <w:r>
        <w:t xml:space="preserve"> </w:t>
      </w:r>
      <w:r>
        <w:t xml:space="preserve">terms are built from the centered measure, the M8 coefficient on DAI is not</w:t>
      </w:r>
      <w:r>
        <w:t xml:space="preserve"> </w:t>
      </w:r>
      <w:r>
        <w:t xml:space="preserve">numerically equivalent to the marginal effect of DAI at FSTS = 0 on the</w:t>
      </w:r>
      <w:r>
        <w:t xml:space="preserve"> </w:t>
      </w:r>
      <w:r>
        <w:t xml:space="preserve">original scale, so the near-zero direct DAI coefficient does not contradict</w:t>
      </w:r>
      <w:r>
        <w:t xml:space="preserve"> </w:t>
      </w:r>
      <w:r>
        <w:t xml:space="preserve">the small positive marginal effect for domestic firms in Table 4. Table 4.</w:t>
      </w:r>
      <w:r>
        <w:t xml:space="preserve"> </w:t>
      </w:r>
      <w:r>
        <w:t xml:space="preserve">Marginal effects of DAI 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Table 4 and Figure 2 translate the M8 interaction</w:t>
      </w:r>
      <w:r>
        <w:t xml:space="preserve"> </w:t>
      </w:r>
      <w:r>
        <w:t xml:space="preserve">estimates into marginal effects across the export-intensity distribution:</w:t>
      </w:r>
      <w:r>
        <w:t xml:space="preserve"> </w:t>
      </w:r>
      <w:r>
        <w:t xml:space="preserve">the marginal effect of DAI is small but positive and significant at</w:t>
      </w:r>
      <w:r>
        <w:t xml:space="preserve"> </w:t>
      </w:r>
      <w:r>
        <w:t xml:space="preserve">FSTS = 0 (+0.080, p = .045), statistically indistinguishable from zero</w:t>
      </w:r>
      <w:r>
        <w:t xml:space="preserve"> </w:t>
      </w:r>
      <w:r>
        <w:t xml:space="preserve">across the low- and middle-export range, and positive and significant among</w:t>
      </w:r>
      <w:r>
        <w:t xml:space="preserve"> </w:t>
      </w:r>
      <w:r>
        <w:t xml:space="preserve">high-intensity exporters (+0.660 at FSTS = 70%, +1.818 at FSTS = 100%).</w:t>
      </w:r>
      <w:r>
        <w:t xml:space="preserve"> </w:t>
      </w:r>
      <w:r>
        <w:t xml:space="preserve">This supports interpreting DAI as a conditional scaling resource whose</w:t>
      </w:r>
      <w:r>
        <w:t xml:space="preserve"> </w:t>
      </w:r>
      <w:r>
        <w:t xml:space="preserve">productivity relevance emerges when firms face denser cross-border</w:t>
      </w:r>
      <w:r>
        <w:t xml:space="preserve"> </w:t>
      </w:r>
      <w:r>
        <w:t xml:space="preserve">coordination demands while remaining weak across much of the distribution.</w:t>
      </w:r>
      <w:r>
        <w:t xml:space="preserve"> </w:t>
      </w:r>
      <w:r>
        <w:t xml:space="preserve">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core inference about DAI moderation is broadly stable, although its</w:t>
      </w:r>
      <w:r>
        <w:t xml:space="preserve"> </w:t>
      </w:r>
      <w:r>
        <w:t xml:space="preserve">statistical strength varies across measurement choices and sample</w:t>
      </w:r>
      <w:r>
        <w:t xml:space="preserve"> </w:t>
      </w:r>
      <w:r>
        <w:t xml:space="preserve">restrictions. The positive quadratic DAI interaction is significant in the</w:t>
      </w:r>
      <w:r>
        <w:t xml:space="preserve"> </w:t>
      </w:r>
      <w:r>
        <w:t xml:space="preserve">baseline full specification and its sign is preserved across all robustness</w:t>
      </w:r>
      <w:r>
        <w:t xml:space="preserve"> </w:t>
      </w:r>
      <w:r>
        <w:t xml:space="preserve">models. Restricting DAI to the website-presence indicator (R1, c22b only)</w:t>
      </w:r>
      <w:r>
        <w:t xml:space="preserve"> </w:t>
      </w:r>
      <w:r>
        <w:t xml:space="preserve">weakens the moderation, showing that the richer baseline index draws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digital presence; excluding micro-firms (R3) or restricting to SMEs (R4)</w:t>
      </w:r>
      <w:r>
        <w:t xml:space="preserve"> </w:t>
      </w:r>
      <w:r>
        <w:t xml:space="preserve">preserves and sometimes strengthens the pattern; and the exporters-only</w:t>
      </w:r>
      <w:r>
        <w:t xml:space="preserve"> </w:t>
      </w:r>
      <w:r>
        <w:t xml:space="preserve">subsample is less stable given the thin right tail, so those estimates are</w:t>
      </w:r>
      <w:r>
        <w:t xml:space="preserve"> </w:t>
      </w:r>
      <w:r>
        <w:t xml:space="preserve">suggestive. An item-swap falsification test</w:t>
      </w:r>
      <w:r>
        <w:t xml:space="preserve"> </w:t>
      </w:r>
      <w:r>
        <w:t xml:space="preserve">supports the TCI–DAI construct boundary: reassigning the website indicator</w:t>
      </w:r>
      <w:r>
        <w:t xml:space="preserve"> </w:t>
      </w:r>
      <w:r>
        <w:t xml:space="preserve">(c22b) from DAI to TCI collapses the joint significance of the DAI</w:t>
      </w:r>
      <w:r>
        <w:t xml:space="preserve"> </w:t>
      </w:r>
      <w:r>
        <w:t xml:space="preserve">moderation block (joint F drops from 4.56 [p = .011] to 1.88</w:t>
      </w:r>
      <w:r>
        <w:t xml:space="preserve"> </w:t>
      </w:r>
      <w:r>
        <w:t xml:space="preserve">[p = .154]), whereas swapping technology indicators the other way</w:t>
      </w:r>
      <w:r>
        <w:t xml:space="preserve"> </w:t>
      </w:r>
      <w:r>
        <w:t xml:space="preserve">preserves the pattern, so the conditional-scaling interpretation depends on</w:t>
      </w:r>
      <w:r>
        <w:t xml:space="preserve"> </w:t>
      </w:r>
      <w:r>
        <w:t xml:space="preserve">the foundational digital-infrastructure indicators being grouped under DAI.</w:t>
      </w:r>
      <w:r>
        <w:t xml:space="preserve"> </w:t>
      </w:r>
      <w:r>
        <w:t xml:space="preserve">Cohen's f² for the TCI</w:t>
      </w:r>
      <w:r>
        <w:t xml:space="preserve"> </w:t>
      </w:r>
      <w:r>
        <w:t xml:space="preserve">direct effect (M2 vs. M5) is approximately 0.036 (small-to-medium); for</w:t>
      </w:r>
      <w:r>
        <w:t xml:space="preserve"> </w:t>
      </w:r>
      <w:r>
        <w:t xml:space="preserve">the DAI moderation block (M7 vs. M8) it is approximately 0.018, below</w:t>
      </w:r>
      <w:r>
        <w:t xml:space="preserve"> </w:t>
      </w:r>
      <w:r>
        <w:t xml:space="preserve">Cohen's (1988) small-effect threshold of 0.02; the exporters-only subsample</w:t>
      </w:r>
      <w:r>
        <w:t xml:space="preserve"> </w:t>
      </w:r>
      <w:r>
        <w:t xml:space="preserve">(N = 84) is underpowered for effects of this magnitude (see Section 3.4(ii)).</w:t>
      </w:r>
      <w:r>
        <w:t xml:space="preserve"> </w:t>
      </w:r>
      <w:r>
        <w:t xml:space="preserve">The strongest claim is therefore not a large average DAI premium but that</w:t>
      </w:r>
      <w:r>
        <w:t xml:space="preserve"> </w:t>
      </w:r>
      <w:r>
        <w:t xml:space="preserve">its productivity association becomes more positive as export intensity rises.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 sign</w:t>
      </w:r>
      <w:r>
        <w:t xml:space="preserve"> </w:t>
      </w:r>
      <w:r>
        <w:t xml:space="preserve">(β=+2.821) and the joint F-test is significant (F = 6.32, p = .003),</w:t>
      </w:r>
      <w:r>
        <w:t xml:space="preserve"> </w:t>
      </w:r>
      <w:r>
        <w:t xml:space="preserve">corroborating the full-sample amplification mechanism (see Section 3.4(ii)).</w:t>
      </w:r>
      <w:r>
        <w:t xml:space="preserve"> </w:t>
      </w:r>
      <w:r>
        <w:t xml:space="preserve">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</w:t>
      </w:r>
      <w:r>
        <w:t xml:space="preserve"> </w:t>
      </w:r>
      <w:r>
        <w:t xml:space="preserve">inverse-Mills-ratio diagnostic at Section 3.4(iv) is consistent with</w:t>
      </w:r>
      <w:r>
        <w:t xml:space="preserve"> </w:t>
      </w:r>
      <w:r>
        <w:t xml:space="preserve">robustness of H3 to mild Heckman-style adjustment (key DAI × FSTS²</w:t>
      </w:r>
      <w:r>
        <w:t xml:space="preserve"> </w:t>
      </w:r>
      <w:r>
        <w:t xml:space="preserve">interaction altered by |Δ| &lt; 0.02).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</w:t>
      </w:r>
      <w:r>
        <w:t xml:space="preserve"> </w:t>
      </w:r>
      <w:r>
        <w:t xml:space="preserve">FSTS is bounded on [0, 1], a Tobit specification (censored at 0) retains</w:t>
      </w:r>
      <w:r>
        <w:t xml:space="preserve"> </w:t>
      </w:r>
      <w:r>
        <w:t xml:space="preserve">the positive quadratic DAI interaction's sign and direction, consistent</w:t>
      </w:r>
      <w:r>
        <w:t xml:space="preserve"> </w:t>
      </w:r>
      <w:r>
        <w:t xml:space="preserve">with the OLS results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 should</w:t>
      </w:r>
      <w:r>
        <w:t xml:space="preserve"> </w:t>
      </w:r>
      <w:r>
        <w:t xml:space="preserve">be interpreted as a Tier 1–2 digital-adoption construct rather than as a</w:t>
      </w:r>
      <w:r>
        <w:t xml:space="preserve"> </w:t>
      </w:r>
      <w:r>
        <w:t xml:space="preserve">broader measure of digitally integrated capability. The preserved positive</w:t>
      </w:r>
      <w:r>
        <w:t xml:space="preserve"> </w:t>
      </w:r>
      <w:r>
        <w:t xml:space="preserve">sign supports the conclusion that foundational digital adoption acts as a</w:t>
      </w:r>
      <w:r>
        <w:t xml:space="preserve"> </w:t>
      </w:r>
      <w:r>
        <w:t xml:space="preserve">contingent scaling complement, with the evidence strongest within the</w:t>
      </w:r>
      <w:r>
        <w:t xml:space="preserve"> </w:t>
      </w:r>
      <w:r>
        <w:t xml:space="preserve">Tier 1–2 measurement boundary.</w:t>
      </w:r>
    </w:p>
    <w:bookmarkEnd w:id="48"/>
    <w:bookmarkEnd w:id="49"/>
    <w:bookmarkStart w:id="52" w:name="X735612638e4e736e4693e459c258977262c0dfc"/>
    <w:p>
      <w:pPr>
        <w:pStyle w:val="Heading2"/>
      </w:pPr>
      <w:r>
        <w:t xml:space="preserve">5 Discussion</w:t>
      </w:r>
    </w:p>
    <w:bookmarkStart w:id="50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follow. First, the TCI result supports a</w:t>
      </w:r>
      <w:r>
        <w:t xml:space="preserve"> </w:t>
      </w:r>
      <w:r>
        <w:t xml:space="preserve">capability-depth interpretation of firm performance: technological</w:t>
      </w:r>
      <w:r>
        <w:t xml:space="preserve"> </w:t>
      </w:r>
      <w:r>
        <w:t xml:space="preserve">capability is positively associated with labour productivity more stably</w:t>
      </w:r>
      <w:r>
        <w:t xml:space="preserve"> </w:t>
      </w:r>
      <w:r>
        <w:t xml:space="preserve">than any moderation pattern in the present design, consistent with internal</w:t>
      </w:r>
      <w:r>
        <w:t xml:space="preserve"> </w:t>
      </w:r>
      <w:r>
        <w:t xml:space="preserve">capability depth providing a stronger productivity base and with the</w:t>
      </w:r>
      <w:r>
        <w:t xml:space="preserve"> </w:t>
      </w:r>
      <w:r>
        <w:t xml:space="preserve">absorptive-capacity and technological-capability traditions that emphasize</w:t>
      </w:r>
      <w:r>
        <w:t xml:space="preserve"> </w:t>
      </w:r>
      <w:r>
        <w:t xml:space="preserve">learning, innovation, and technology absorption as firm-internal sources of</w:t>
      </w:r>
      <w:r>
        <w:t xml:space="preserve"> </w:t>
      </w:r>
      <w:r>
        <w:t xml:space="preserve">productivity heterogeneity rather than as identified shifters of I–P</w:t>
      </w:r>
      <w:r>
        <w:t xml:space="preserve"> </w:t>
      </w:r>
      <w:r>
        <w:t xml:space="preserve">curvature. Second,</w:t>
      </w:r>
      <w:r>
        <w:t xml:space="preserve"> </w:t>
      </w:r>
      <w:r>
        <w:t xml:space="preserve">the evidence qualifies rather than overturns the conventional nonlinear</w:t>
      </w:r>
      <w:r>
        <w:t xml:space="preserve"> </w:t>
      </w:r>
      <w:r>
        <w:t xml:space="preserve">literature: the fitted quadratic displays mild curvature, but the right-side</w:t>
      </w:r>
      <w:r>
        <w:t xml:space="preserve"> </w:t>
      </w:r>
      <w:r>
        <w:t xml:space="preserve">decline is not formally identified within the range occupied by most firms,</w:t>
      </w:r>
      <w:r>
        <w:t xml:space="preserve"> </w:t>
      </w:r>
      <w:r>
        <w:t xml:space="preserve">so the study provides within-context evidence on how the I–P logic appears</w:t>
      </w:r>
      <w:r>
        <w:t xml:space="preserve"> </w:t>
      </w:r>
      <w:r>
        <w:t xml:space="preserve">when most firms cluster at very low export intensity, without claiming that a</w:t>
      </w:r>
      <w:r>
        <w:t xml:space="preserve"> </w:t>
      </w:r>
      <w:r>
        <w:t xml:space="preserve">single-country cross-section can separate a context-specific mechanism from</w:t>
      </w:r>
      <w:r>
        <w:t xml:space="preserve"> </w:t>
      </w:r>
      <w:r>
        <w:t xml:space="preserve">Singapore-specific institutional features. Third, foundational digital</w:t>
      </w:r>
      <w:r>
        <w:t xml:space="preserve"> </w:t>
      </w:r>
      <w:r>
        <w:t xml:space="preserve">adoption is better understood as a conditional scaling resource than a</w:t>
      </w:r>
      <w:r>
        <w:t xml:space="preserve"> </w:t>
      </w:r>
      <w:r>
        <w:t xml:space="preserve">uniform premium: the DAI association is weak across much of the distribution</w:t>
      </w:r>
      <w:r>
        <w:t xml:space="preserve"> </w:t>
      </w:r>
      <w:r>
        <w:t xml:space="preserve">but more positive in the high-export tail, consistent with Tier 1–2 adoption</w:t>
      </w:r>
      <w:r>
        <w:t xml:space="preserve"> </w:t>
      </w:r>
      <w:r>
        <w:t xml:space="preserve">mattering most when firms have sufficient international throughput to use</w:t>
      </w:r>
      <w:r>
        <w:t xml:space="preserve"> </w:t>
      </w:r>
      <w:r>
        <w:t xml:space="preserve">digital interfaces intensively (the evidence concentrated in a thin-support</w:t>
      </w:r>
      <w:r>
        <w:t xml:space="preserve"> </w:t>
      </w:r>
      <w:r>
        <w:t xml:space="preserve">region). From a transaction-cost perspective (Coase 1937;</w:t>
      </w:r>
      <w:r>
        <w:t xml:space="preserve"> </w:t>
      </w:r>
      <w:r>
        <w:t xml:space="preserve">Williamson 1985), foundational digital interfaces absorb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high export intensity their marginal benefit may</w:t>
      </w:r>
      <w:r>
        <w:t xml:space="preserve"> </w:t>
      </w:r>
      <w:r>
        <w:t xml:space="preserve">not exceed the fixed costs of installation and use, explaining the absence of</w:t>
      </w:r>
      <w:r>
        <w:t xml:space="preserve"> </w:t>
      </w:r>
      <w:r>
        <w:t xml:space="preserve">a uniform premium where Tier 1–2 tools are near-universally diffused,</w:t>
      </w:r>
      <w:r>
        <w:t xml:space="preserve"> </w:t>
      </w:r>
      <w:r>
        <w:t xml:space="preserve">consistent with the saturation paradox.</w:t>
      </w:r>
      <w:r>
        <w:t xml:space="preserve"> </w:t>
      </w:r>
      <w:r>
        <w:t xml:space="preserve">The scale of Singapore's innovation ecosystem, 25,000 attendees and a</w:t>
      </w:r>
      <w:r>
        <w:t xml:space="preserve"> </w:t>
      </w:r>
      <w:r>
        <w:t xml:space="preserve">record 6,800 startup applications from 150 markets at the 2025 Singapore</w:t>
      </w:r>
      <w:r>
        <w:t xml:space="preserve"> </w:t>
      </w:r>
      <w:r>
        <w:t xml:space="preserve">Week of Innovation and Technology (Enterprise Singapore, 2025) and 22,000</w:t>
      </w:r>
      <w:r>
        <w:t xml:space="preserve"> </w:t>
      </w:r>
      <w:r>
        <w:t xml:space="preserve">delegates from 110 regions at the Asia Tech x Singapore summit (IMDA,</w:t>
      </w:r>
      <w:r>
        <w:t xml:space="preserve"> </w:t>
      </w:r>
      <w:r>
        <w:t xml:space="preserve">2025), confirms that its digital maturity extends well beyond the Tier 1–2</w:t>
      </w:r>
      <w:r>
        <w:t xml:space="preserve"> </w:t>
      </w:r>
      <w:r>
        <w:t xml:space="preserve">layer captured by DAI, so higher-tier capabilities (automation, AI</w:t>
      </w:r>
      <w:r>
        <w:t xml:space="preserve"> </w:t>
      </w:r>
      <w:r>
        <w:t xml:space="preserve">deployment, platform orchestration) remain unmeasured here but embedded in</w:t>
      </w:r>
      <w:r>
        <w:t xml:space="preserve"> </w:t>
      </w:r>
      <w:r>
        <w:t xml:space="preserve">the surrounding 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mechanisms.</w:t>
      </w:r>
      <w:r>
        <w:t xml:space="preserve"> </w:t>
      </w:r>
      <w:r>
        <w:t xml:space="preserve">Read</w:t>
      </w:r>
      <w:r>
        <w:t xml:space="preserve"> </w:t>
      </w:r>
      <w:r>
        <w:t xml:space="preserve">against the Section 2.3.4 contrast, the Singapore evidence is most</w:t>
      </w:r>
      <w:r>
        <w:t xml:space="preserve"> </w:t>
      </w:r>
      <w:r>
        <w:t xml:space="preserve">consistent with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: the positive quadratic FSTS² × DAI</w:t>
      </w:r>
      <w:r>
        <w:t xml:space="preserve"> </w:t>
      </w:r>
      <w:r>
        <w:t xml:space="preserve">coefficient (β=+3.119, p=.005) implies that DAI's contribution grows</w:t>
      </w:r>
      <w:r>
        <w:t xml:space="preserve"> </w:t>
      </w:r>
      <w:r>
        <w:t xml:space="preserve">super-linearly with export-intensity scale, which a level-shift substitution</w:t>
      </w:r>
      <w:r>
        <w:t xml:space="preserve"> </w:t>
      </w:r>
      <w:r>
        <w:t xml:space="preserve">mechanism would not produce. Its robustness across sample restrictions</w:t>
      </w:r>
      <w:r>
        <w:t xml:space="preserve"> </w:t>
      </w:r>
      <w:r>
        <w:t xml:space="preserve">(R1, R3, R4, R5) and indicator-sensitivity diagnostics is inconsistent with</w:t>
      </w:r>
      <w:r>
        <w:t xml:space="preserve"> </w:t>
      </w:r>
      <w:r>
        <w:t xml:space="preserve">a pure selection story, under which the joint productivity–DAI–FSTS</w:t>
      </w:r>
      <w:r>
        <w:t xml:space="preserve"> </w:t>
      </w:r>
      <w:r>
        <w:t xml:space="preserve">correlation should attenuate when the firms driving selection are removed;</w:t>
      </w:r>
      <w:r>
        <w:t xml:space="preserve"> </w:t>
      </w:r>
      <w:r>
        <w:t xml:space="preserve">instead the positive sign is preserved throughout, while the Section 4.5(ii)</w:t>
      </w:r>
      <w:r>
        <w:t xml:space="preserve"> </w:t>
      </w:r>
      <w:r>
        <w:t xml:space="preserve">Heckman diagnostic indicates mild but non-eliminating selection. The</w:t>
      </w:r>
      <w:r>
        <w:t xml:space="preserve"> </w:t>
      </w:r>
      <w:r>
        <w:t xml:space="preserve">evidence thus supports amplification as the focal mechanism while retaining</w:t>
      </w:r>
      <w:r>
        <w:t xml:space="preserve"> </w:t>
      </w:r>
      <w:r>
        <w:t xml:space="preserve">selection as a bounded residual concern. The contribution is therefore not</w:t>
      </w:r>
      <w:r>
        <w:t xml:space="preserve"> </w:t>
      </w:r>
      <w:r>
        <w:t xml:space="preserve">to establish a universal digitalization mechanism but to clarify that</w:t>
      </w:r>
      <w:r>
        <w:t xml:space="preserve"> </w:t>
      </w:r>
      <w:r>
        <w:t xml:space="preserve">foundational digital adoption and technological capability are analytically</w:t>
      </w:r>
      <w:r>
        <w:t xml:space="preserve"> </w:t>
      </w:r>
      <w:r>
        <w:t xml:space="preserve">distinct. Influential conceptual work on platform boundaries and</w:t>
      </w:r>
      <w:r>
        <w:t xml:space="preserve"> </w:t>
      </w:r>
      <w:r>
        <w:t xml:space="preserve">internalization (Banalieva &amp; Dhanaraj, 2019; Stallkamp &amp; Schotter, 2021)</w:t>
      </w:r>
      <w:r>
        <w:t xml:space="preserve"> </w:t>
      </w:r>
      <w:r>
        <w:t xml:space="preserve">has generated few firm-level data points on how foundational digital</w:t>
      </w:r>
      <w:r>
        <w:t xml:space="preserve"> </w:t>
      </w:r>
      <w:r>
        <w:t xml:space="preserve">adoption interacts with export intensity within a single advanced economy;</w:t>
      </w:r>
      <w:r>
        <w:t xml:space="preserve"> </w:t>
      </w:r>
      <w:r>
        <w:t xml:space="preserve">the present findings provide one.</w:t>
      </w:r>
    </w:p>
    <w:p>
      <w:pPr>
        <w:pStyle w:val="BodyText"/>
      </w:pPr>
      <w:r>
        <w:rPr>
          <w:bCs/>
          <w:b/>
        </w:rPr>
        <w:t xml:space="preserve">Tier-1 vs Tier-1+2 construct boundary and transferability.</w:t>
      </w:r>
      <w:r>
        <w:t xml:space="preserve"> </w:t>
      </w:r>
      <w:r>
        <w:t xml:space="preserve">The</w:t>
      </w:r>
      <w:r>
        <w:t xml:space="preserve"> </w:t>
      </w:r>
      <w:r>
        <w:t xml:space="preserve">amplification reading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DAI (website presence plus two-way electronic-payment intensity), with the</w:t>
      </w:r>
      <w:r>
        <w:t xml:space="preserve"> </w:t>
      </w:r>
      <w:r>
        <w:t xml:space="preserve">signal concentrated in the Tier-2 layer (Table 3, R1). The broader</w:t>
      </w:r>
      <w:r>
        <w:t xml:space="preserve"> </w:t>
      </w:r>
      <w:r>
        <w:t xml:space="preserve">implication is a Tier-1+2 threshold effect with direct policy relevance. In advanced economies where Tier-2 infrastructure is</w:t>
      </w:r>
      <w:r>
        <w:t xml:space="preserve"> </w:t>
      </w:r>
      <w:r>
        <w:t xml:space="preserve">widely diffused alongside Tier-1 presence, a Tier-1+2 composite retains</w:t>
      </w:r>
      <w:r>
        <w:t xml:space="preserve"> </w:t>
      </w:r>
      <w:r>
        <w:t xml:space="preserve">discriminatory power and the amplification mechanism becomes detectable as</w:t>
      </w:r>
      <w:r>
        <w:t xml:space="preserve"> </w:t>
      </w:r>
      <w:r>
        <w:t xml:space="preserve">the upward rotation of the I–P curve documented here. In emerging economies</w:t>
      </w:r>
      <w:r>
        <w:t xml:space="preserve"> </w:t>
      </w:r>
      <w:r>
        <w:t xml:space="preserve">where Tier-1 has diffused but Tier-2 infrastructure remains institutionally</w:t>
      </w:r>
      <w:r>
        <w:t xml:space="preserve"> </w:t>
      </w:r>
      <w:r>
        <w:t xml:space="preserve">bounded, including settings where cross-border electronic-payment rails</w:t>
      </w:r>
      <w:r>
        <w:t xml:space="preserve"> </w:t>
      </w:r>
      <w:r>
        <w:t xml:space="preserve">reached systemic scale only in the late 2010s (World Bank, 2023), a</w:t>
      </w:r>
      <w:r>
        <w:t xml:space="preserve"> </w:t>
      </w:r>
      <w:r>
        <w:t xml:space="preserve">Tier-1-only construct loses discriminatory power as the diffusion ceiling is</w:t>
      </w:r>
      <w:r>
        <w:t xml:space="preserve"> </w:t>
      </w:r>
      <w:r>
        <w:t xml:space="preserve">approached, and any contingent association is more plausibly construct-tier</w:t>
      </w:r>
      <w:r>
        <w:t xml:space="preserve"> </w:t>
      </w:r>
      <w:r>
        <w:t xml:space="preserve">obsolescence than evidence on dynamic digital capability. The mechanism</w:t>
      </w:r>
      <w:r>
        <w:t xml:space="preserve"> </w:t>
      </w:r>
      <w:r>
        <w:t xml:space="preserve">should therefore not be over-extrapolated to settings where Tier-2</w:t>
      </w:r>
      <w:r>
        <w:t xml:space="preserve"> </w:t>
      </w:r>
      <w:r>
        <w:t xml:space="preserve">infrastructure has not matured enough for the transaction-enabling layer to</w:t>
      </w:r>
      <w:r>
        <w:t xml:space="preserve"> </w:t>
      </w:r>
      <w:r>
        <w:t xml:space="preserve">absorb the coordination-cost saturation of high-intensity exporting. This</w:t>
      </w:r>
      <w:r>
        <w:t xml:space="preserve"> </w:t>
      </w:r>
      <w:r>
        <w:t xml:space="preserve">positions the findings as a within-context boundary case at the</w:t>
      </w:r>
      <w:r>
        <w:t xml:space="preserve"> </w:t>
      </w:r>
      <w:r>
        <w:t xml:space="preserve">advanced-economy ceiling and reframes Singapore from an outlier to a leading</w:t>
      </w:r>
      <w:r>
        <w:t xml:space="preserve"> </w:t>
      </w:r>
      <w:r>
        <w:t xml:space="preserve">indicator: economies that upgrade payment infrastructure to Tier-2 coverage</w:t>
      </w:r>
      <w:r>
        <w:t xml:space="preserve"> </w:t>
      </w:r>
      <w:r>
        <w:t xml:space="preserve">should expect the conditional complementarity pattern to become detectable.</w:t>
      </w:r>
    </w:p>
    <w:bookmarkEnd w:id="50"/>
    <w:bookmarkStart w:id="51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foundational digital adoption is most strongly associated with</w:t>
      </w:r>
      <w:r>
        <w:t xml:space="preserve"> </w:t>
      </w:r>
      <w:r>
        <w:t xml:space="preserve">productivity advantages when firms already operate at high export</w:t>
      </w:r>
      <w:r>
        <w:t xml:space="preserve"> </w:t>
      </w:r>
      <w:r>
        <w:t xml:space="preserve">intensity, where digital interfaces, payment systems, and related tools</w:t>
      </w:r>
      <w:r>
        <w:t xml:space="preserve"> </w:t>
      </w:r>
      <w:r>
        <w:t xml:space="preserve">function as scaling mechanisms for coordinating larger volumes of</w:t>
      </w:r>
      <w:r>
        <w:t xml:space="preserve"> </w:t>
      </w:r>
      <w:r>
        <w:t xml:space="preserve">cross-border activity; for these firms the implication is strategic, as</w:t>
      </w:r>
      <w:r>
        <w:t xml:space="preserve"> </w:t>
      </w:r>
      <w:r>
        <w:t xml:space="preserve">such systems matter most when coordination demands across customers,</w:t>
      </w:r>
      <w:r>
        <w:t xml:space="preserve"> </w:t>
      </w:r>
      <w:r>
        <w:t xml:space="preserve">suppliers, and foreign-market transactions become dense enough for</w:t>
      </w:r>
      <w:r>
        <w:t xml:space="preserve"> </w:t>
      </w:r>
      <w:r>
        <w:t xml:space="preserve">intensive use. For firms concentrated in domestic markets or at low export</w:t>
      </w:r>
      <w:r>
        <w:t xml:space="preserve"> </w:t>
      </w:r>
      <w:r>
        <w:t xml:space="preserve">intensity, digital adoption may still be worthwhile but the productivity</w:t>
      </w:r>
      <w:r>
        <w:t xml:space="preserve"> </w:t>
      </w:r>
      <w:r>
        <w:t xml:space="preserve">differentials are smaller and less distinctive, since basic functionality</w:t>
      </w:r>
      <w:r>
        <w:t xml:space="preserve"> </w:t>
      </w:r>
      <w:r>
        <w:t xml:space="preserve">is already widespread and unlikely to generate a large standalone premium;</w:t>
      </w:r>
      <w:r>
        <w:t xml:space="preserve"> </w:t>
      </w:r>
      <w:r>
        <w:t xml:space="preserve">for firms in the intermediate range, immediate gains from digital adoption</w:t>
      </w:r>
      <w:r>
        <w:t xml:space="preserve"> </w:t>
      </w:r>
      <w:r>
        <w:t xml:space="preserve">alone should not be expected and are more valuable when aligned with customer</w:t>
      </w:r>
      <w:r>
        <w:t xml:space="preserve"> </w:t>
      </w:r>
      <w:r>
        <w:t xml:space="preserve">integration, supplier coordination, and export readiness. More broadly,</w:t>
      </w:r>
      <w:r>
        <w:t xml:space="preserve"> </w:t>
      </w:r>
      <w:r>
        <w:t xml:space="preserve">managers should not treat technological capability and digital adoption as</w:t>
      </w:r>
      <w:r>
        <w:t xml:space="preserve"> </w:t>
      </w:r>
      <w:r>
        <w:t xml:space="preserve">interchangeable: capability-building supports a broader productivity base,</w:t>
      </w:r>
      <w:r>
        <w:t xml:space="preserve"> </w:t>
      </w:r>
      <w:r>
        <w:t xml:space="preserve">whereas foundational digital adoption becomes relevant under the coordination</w:t>
      </w:r>
      <w:r>
        <w:t xml:space="preserve"> </w:t>
      </w:r>
      <w:r>
        <w:t xml:space="preserve">intensity of deeper internationalization, so the two strategies should be</w:t>
      </w:r>
      <w:r>
        <w:t xml:space="preserve"> </w:t>
      </w:r>
      <w:r>
        <w:t xml:space="preserve">sequenced and matched to the firm's stage of export expansion rather than</w:t>
      </w:r>
      <w:r>
        <w:t xml:space="preserve"> </w:t>
      </w:r>
      <w:r>
        <w:t xml:space="preserve">pursued as a single undifferentiated agenda.</w:t>
      </w:r>
    </w:p>
    <w:bookmarkEnd w:id="51"/>
    <w:bookmarkEnd w:id="52"/>
    <w:bookmarkStart w:id="53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I–P relationship by distinguishing technological</w:t>
      </w:r>
      <w:r>
        <w:t xml:space="preserve"> </w:t>
      </w:r>
      <w:r>
        <w:t xml:space="preserve">capability from foundational digital adoption and examining how each is</w:t>
      </w:r>
      <w:r>
        <w:t xml:space="preserve"> </w:t>
      </w:r>
      <w:r>
        <w:t xml:space="preserve">associated with labour productivity among firms in Singapore. Using WBES</w:t>
      </w:r>
      <w:r>
        <w:t xml:space="preserve"> </w:t>
      </w:r>
      <w:r>
        <w:t xml:space="preserve">microdata for Singapore 2023, technological capability is positively</w:t>
      </w:r>
      <w:r>
        <w:t xml:space="preserve"> </w:t>
      </w:r>
      <w:r>
        <w:t xml:space="preserve">associated with productivity, while digital adoption exhibits a conditional</w:t>
      </w:r>
      <w:r>
        <w:t xml:space="preserve"> </w:t>
      </w:r>
      <w:r>
        <w:t xml:space="preserve">association that becomes more positive only at higher export intensity,</w:t>
      </w:r>
      <w:r>
        <w:t xml:space="preserve"> </w:t>
      </w:r>
      <w:r>
        <w:t xml:space="preserve">supporting a distinction between firm-internal capability depth and</w:t>
      </w:r>
      <w:r>
        <w:t xml:space="preserve"> </w:t>
      </w:r>
      <w:r>
        <w:t xml:space="preserve">foundational digitally enabled transaction capacity rather than a single</w:t>
      </w:r>
      <w:r>
        <w:t xml:space="preserve"> </w:t>
      </w:r>
      <w:r>
        <w:t xml:space="preserve">digital-capability construct. The</w:t>
      </w:r>
      <w:r>
        <w:t xml:space="preserve"> </w:t>
      </w:r>
      <w:r>
        <w:t xml:space="preserve">study also qualifies the nonlinear I–P literature: within the observed</w:t>
      </w:r>
      <w:r>
        <w:t xml:space="preserve"> </w:t>
      </w:r>
      <w:r>
        <w:t xml:space="preserve">range, the baseline pattern is better characterized as predominantly</w:t>
      </w:r>
      <w:r>
        <w:t xml:space="preserve"> </w:t>
      </w:r>
      <w:r>
        <w:t xml:space="preserve">positive with mild quadratic curvature than as a formally identified</w:t>
      </w:r>
      <w:r>
        <w:t xml:space="preserve"> </w:t>
      </w:r>
      <w:r>
        <w:t xml:space="preserve">inverted-U, because the turning point lies in a sparsely populated upper tail</w:t>
      </w:r>
      <w:r>
        <w:t xml:space="preserve"> </w:t>
      </w:r>
      <w:r>
        <w:t xml:space="preserve">and is imprecisely located. The evidence neither overturns the established</w:t>
      </w:r>
      <w:r>
        <w:t xml:space="preserve"> </w:t>
      </w:r>
      <w:r>
        <w:t xml:space="preserve">literature nor establishes a general boundary condition for digitally mature</w:t>
      </w:r>
      <w:r>
        <w:t xml:space="preserve"> </w:t>
      </w:r>
      <w:r>
        <w:t xml:space="preserve">economies; it provides within-context evidence on how the conventional logic</w:t>
      </w:r>
      <w:r>
        <w:t xml:space="preserve"> </w:t>
      </w:r>
      <w:r>
        <w:t xml:space="preserve">appears in a highly digitalized environment where most firms remain at low</w:t>
      </w:r>
      <w:r>
        <w:t xml:space="preserve"> </w:t>
      </w:r>
      <w:r>
        <w:t xml:space="preserve">export intensity. The study thus contributes</w:t>
      </w:r>
      <w:r>
        <w:t xml:space="preserve"> </w:t>
      </w:r>
      <w:r>
        <w:t xml:space="preserve">by showing that technological capability (a stable positive association) and</w:t>
      </w:r>
      <w:r>
        <w:t xml:space="preserve"> </w:t>
      </w:r>
      <w:r>
        <w:t xml:space="preserve">foundational digital adoption (a conditional scaling resource) operate</w:t>
      </w:r>
      <w:r>
        <w:t xml:space="preserve"> </w:t>
      </w:r>
      <w:r>
        <w:t xml:space="preserve">through different empirical patterns. These conclusions are bounded to the</w:t>
      </w:r>
      <w:r>
        <w:t xml:space="preserve"> </w:t>
      </w:r>
      <w:r>
        <w:t xml:space="preserve">present design and point toward comparative and longitudinal research before</w:t>
      </w:r>
      <w:r>
        <w:t xml:space="preserve"> </w:t>
      </w:r>
      <w:r>
        <w:t xml:space="preserve">broader cross-setting claims can be sustained.</w:t>
      </w:r>
    </w:p>
    <w:bookmarkEnd w:id="53"/>
    <w:bookmarkStart w:id="54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caution. First, the analysis is a single-country</w:t>
      </w:r>
      <w:r>
        <w:t xml:space="preserve"> </w:t>
      </w:r>
      <w:r>
        <w:t xml:space="preserve">cross-section, so the scope is associational rather than causal: the</w:t>
      </w:r>
      <w:r>
        <w:t xml:space="preserve"> </w:t>
      </w:r>
      <w:r>
        <w:t xml:space="preserve">observed relationships may reflect reverse causation, omitted variables, or</w:t>
      </w:r>
      <w:r>
        <w:t xml:space="preserve"> </w:t>
      </w:r>
      <w:r>
        <w:t xml:space="preserve">productivity-driven selection into exporting and digital adoption, so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</w:t>
      </w:r>
      <w:r>
        <w:t xml:space="preserve"> </w:t>
      </w:r>
      <w:r>
        <w:t xml:space="preserve">the sample has a thin right tail of high-intensity exporters: most firms</w:t>
      </w:r>
      <w:r>
        <w:t xml:space="preserve"> </w:t>
      </w:r>
      <w:r>
        <w:t xml:space="preserve">report zero exports, the 75th percentile of FSTS is zero, and only a small</w:t>
      </w:r>
      <w:r>
        <w:t xml:space="preserve"> </w:t>
      </w:r>
      <w:r>
        <w:t xml:space="preserve">fraction occupy the high-export range where the fitted turning point and</w:t>
      </w:r>
      <w:r>
        <w:t xml:space="preserve"> </w:t>
      </w:r>
      <w:r>
        <w:t xml:space="preserve">strongest DAI moderation signals appear. The implied turning point should</w:t>
      </w:r>
      <w:r>
        <w:t xml:space="preserve"> </w:t>
      </w:r>
      <w:r>
        <w:t xml:space="preserve">therefore be read as descriptive rather than a structurally identified</w:t>
      </w:r>
      <w:r>
        <w:t xml:space="preserve"> </w:t>
      </w:r>
      <w:r>
        <w:t xml:space="preserve">inflection, estimated from a sparsely populated region with a wide 95%</w:t>
      </w:r>
      <w:r>
        <w:t xml:space="preserve"> </w:t>
      </w:r>
      <w:r>
        <w:t xml:space="preserve">bootstrap confidence interval ([53%, 253%]) even though an inverted-U is</w:t>
      </w:r>
      <w:r>
        <w:t xml:space="preserve"> </w:t>
      </w:r>
      <w:r>
        <w:t xml:space="preserve">recovered in 96.3% of resamples. The same caution applies to the DAI</w:t>
      </w:r>
      <w:r>
        <w:t xml:space="preserve"> </w:t>
      </w:r>
      <w:r>
        <w:t xml:space="preserve">moderation pattern, which remains visible across leave-one-out,</w:t>
      </w:r>
      <w:r>
        <w:t xml:space="preserve"> </w:t>
      </w:r>
      <w:r>
        <w:t xml:space="preserve">trimmed-tail, and indicator-sensitivity diagnostics but is less precise in</w:t>
      </w:r>
      <w:r>
        <w:t xml:space="preserve"> </w:t>
      </w:r>
      <w:r>
        <w:t xml:space="preserve">the small exporter subsample (N = 84). Third, the digital-adoption estimate</w:t>
      </w:r>
      <w:r>
        <w:t xml:space="preserve"> </w:t>
      </w:r>
      <w:r>
        <w:t xml:space="preserve">must be read</w:t>
      </w:r>
      <w:r>
        <w:t xml:space="preserve"> </w:t>
      </w:r>
      <w:r>
        <w:t xml:space="preserve">within the measurement boundary of the available indicators: DAI captures</w:t>
      </w:r>
      <w:r>
        <w:t xml:space="preserve"> </w:t>
      </w:r>
      <w:r>
        <w:t xml:space="preserve">Tier 1–2 adoption (digital presence and electronic-transaction usage)</w:t>
      </w:r>
      <w:r>
        <w:t xml:space="preserve"> </w:t>
      </w:r>
      <w:r>
        <w:t xml:space="preserve">rather than deeper integrated or dynamic digital capability, and the</w:t>
      </w:r>
      <w:r>
        <w:t xml:space="preserve"> </w:t>
      </w:r>
      <w:r>
        <w:t xml:space="preserve">moderation pattern weakens when those foundational items are dropped.</w:t>
      </w:r>
      <w:r>
        <w:t xml:space="preserve"> </w:t>
      </w:r>
      <w:r>
        <w:t xml:space="preserve">Future research should examine whether the same conditional pattern appears</w:t>
      </w:r>
      <w:r>
        <w:t xml:space="preserve"> </w:t>
      </w:r>
      <w:r>
        <w:t xml:space="preserve">in other digitally advanced economies under richer measures of process</w:t>
      </w:r>
      <w:r>
        <w:t xml:space="preserve"> </w:t>
      </w:r>
      <w:r>
        <w:t xml:space="preserve">integration and higher-order digital capabilities. Panel data, successive</w:t>
      </w:r>
      <w:r>
        <w:t xml:space="preserve"> </w:t>
      </w:r>
      <w:r>
        <w:t xml:space="preserve">survey waves, linked administrative records, and stronger quasi-experimental</w:t>
      </w:r>
      <w:r>
        <w:t xml:space="preserve"> </w:t>
      </w:r>
      <w:r>
        <w:t xml:space="preserve">designs (instrumental-variable or difference-in-differences specifications</w:t>
      </w:r>
      <w:r>
        <w:t xml:space="preserve"> </w:t>
      </w:r>
      <w:r>
        <w:t xml:space="preserve">keyed to digital-infrastructure rollouts or trade-policy shocks) would help</w:t>
      </w:r>
      <w:r>
        <w:t xml:space="preserve"> </w:t>
      </w:r>
      <w:r>
        <w:t xml:space="preserve">clarify whether the associations reflect scaling complementarities,</w:t>
      </w:r>
      <w:r>
        <w:t xml:space="preserve"> </w:t>
      </w:r>
      <w:r>
        <w:t xml:space="preserve">selection, or other mechanisms. Candidate instruments include firm-to-port</w:t>
      </w:r>
      <w:r>
        <w:t xml:space="preserve"> </w:t>
      </w:r>
      <w:r>
        <w:t xml:space="preserve">distance or local customs-clearance times for export intensity, and regional</w:t>
      </w:r>
      <w:r>
        <w:t xml:space="preserve"> </w:t>
      </w:r>
      <w:r>
        <w:t xml:space="preserve">broadband-coverage shares or within-sector peer-adoption rates for digital</w:t>
      </w:r>
      <w:r>
        <w:t xml:space="preserve"> </w:t>
      </w:r>
      <w:r>
        <w:t xml:space="preserve">adoption, though Wolfolds and Siegel (2019) caution that such designs</w:t>
      </w:r>
      <w:r>
        <w:t xml:space="preserve"> </w:t>
      </w:r>
      <w:r>
        <w:t xml:space="preserve">require both first-stage strength and credible exclusion restrictions.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9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2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3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4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5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7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8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69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0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1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2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3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4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5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6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7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8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79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0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1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2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3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4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5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6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8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89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0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1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Section 1.1 and Section 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2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3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4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5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7"/>
    <w:bookmarkEnd w:id="98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2026-06-21T00:52:59Z</dcterms:created>
  <dcterms:modified xsi:type="dcterms:W3CDTF">2026-06-21T00:52:59Z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