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1.png" ContentType="image/png"/>
  <Override PartName="/word/media/rId44.png" ContentType="image/png"/>
  <Override PartName="/word/media/rId47.png" ContentType="image/png"/>
  <Override PartName="/word/media/rId50.png" ContentType="image/png"/>
  <Override PartName="/word/media/rId54.png" ContentType="image/png"/>
  <Override PartName="/word/media/rId58.png" ContentType="image/png"/>
  <Override PartName="/word/media/rId61.png" ContentType="image/png"/>
  <Override PartName="/word/media/rId64.png" ContentType="image/png"/>
  <Override PartName="/word/media/rId67.png" ContentType="image/png"/>
  <Override PartName="/word/media/rId70.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6 May 2026</w:t>
      </w:r>
    </w:p>
    <w:p>
      <w:pPr>
        <w:pStyle w:val="BodyText"/>
      </w:pPr>
      <w:r>
        <w:rPr>
          <w:iCs/>
          <w:i/>
        </w:rPr>
        <w:t xml:space="preserve">Target journal: Asia Pacific Journal of Management (APJM)</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4 (Table 1 descriptives; Table 2 focal coefficient summary; Table 3 robustness panels; Table 4 turning points).</w:t>
      </w:r>
    </w:p>
    <w:p>
      <w:pPr>
        <w:pStyle w:val="BodyText"/>
      </w:pPr>
      <w:r>
        <w:rPr>
          <w:bCs/>
          <w:b/>
        </w:rPr>
        <w:t xml:space="preserve">Figures:</w:t>
      </w:r>
      <w:r>
        <w:t xml:space="preserve"> </w:t>
      </w:r>
      <w:r>
        <w:t xml:space="preserve">6 (Figure 1 conceptual model; Figures 2a–2d wave-specific FSTS curves; Figure 3 moderation curves at p25 vs p75 of moderator).</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and examines how technological capability and foundational digital adoption are associated with firm productivity under institutional and digital transition, asking whether export intensity is nonlinearly related to labour productivity and whether the two constructs play distinct roles across survey waves.</w:t>
      </w:r>
    </w:p>
    <w:p>
      <w:pPr>
        <w:pStyle w:val="BodyText"/>
      </w:pPr>
      <w:r>
        <w:t xml:space="preserve">Design/methodology/approach — Three waves of World Bank Enterprise Survey data for Vietnam (2009, 2015, 2023; N = 2,958) are used to estimate wave-specific and pooled OLS models with HC1 robust standard errors, quadratic export-intensity terms, and interactions. The Technological Capability Index (quality certification, foreign-licensed technology) and Digital Adoption Index (website presence) share no items.</w:t>
      </w:r>
    </w:p>
    <w:p>
      <w:pPr>
        <w:pStyle w:val="BodyText"/>
      </w:pPr>
      <w:r>
        <w:t xml:space="preserve">Findings — The inverted-U between internationalisation and firm performance (turning points 39–46% export intensity) holds across all three waves, concentrated at the participation margin rather than through dense within-exporter curvature. Technological capability is positively associated with productivity in all waves and in the pooled sample, with a more stable moderating role than foundational digital adoption. Digital adoption is positive in 2009 and 2023, null in 2015, and shows moderation only in 2023. Instrumental-variable estimation yields a null digital-adoption coefficient, indicating that the observed positive association is likely selection-driven.</w:t>
      </w:r>
    </w:p>
    <w:p>
      <w:pPr>
        <w:pStyle w:val="BodyText"/>
      </w:pPr>
      <w:r>
        <w:t xml:space="preserve">Originality/value — The study contributes to research on emerging markets by distinguishing foreign-technology / standards capability from foundational digital adoption and by showing that pooled digital effects can mask substantial temporal heterogeneity. The findings suggest that the productivity relevance of basic digital adoption is context-sensitive and wave-specific rather than uniformly stable across stages of internationalisation.</w:t>
      </w:r>
    </w:p>
    <w:p>
      <w:pPr>
        <w:pStyle w:val="BodyText"/>
      </w:pPr>
      <w:r>
        <w:t xml:space="preserve">Keywords: internationalisation–performance; emerging markets; digital adoption; technological capability;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and digital adoption are separated as non-overlapping primary</w:t>
      </w:r>
      <w:r>
        <w:t xml:space="preserve"> </w:t>
      </w:r>
      <w:r>
        <w:t xml:space="preserve">measures: TCI_z is the within-wave standardised mean of quality certification and foreignlicensed technology, whereas DAI_z is the within-wave standardised website-based digitalpresence indicator.</w:t>
      </w:r>
    </w:p>
    <w:p>
      <w:pPr>
        <w:pStyle w:val="BodyText"/>
      </w:pPr>
      <w:r>
        <w:t xml:space="preserve"> TCI_z is positively associated with productivity in all three waves (β = 0.215, 0.128,</w:t>
      </w:r>
      <w:r>
        <w:t xml:space="preserve"> </w:t>
      </w:r>
      <w:r>
        <w:t xml:space="preserve">0.123) and pooled (β = 0.179, p &lt; .001), and moderates the curvature in three of four</w:t>
      </w:r>
      <w:r>
        <w:t xml:space="preserve"> </w:t>
      </w:r>
      <w:r>
        <w:t xml:space="preserve">panels (M3 joint p = .040, .713, .027 and .003).</w:t>
      </w:r>
    </w:p>
    <w:p>
      <w:pPr>
        <w:pStyle w:val="BodyText"/>
      </w:pPr>
      <w:r>
        <w:t xml:space="preserve"> DAI_z is strongest in 2009 (β = 0.175, p &lt; .001), null in 2015 (β = -0.044, p = .377),</w:t>
      </w:r>
      <w:r>
        <w:t xml:space="preserve"> </w:t>
      </w:r>
      <w:r>
        <w:t xml:space="preserve">positive in 2023 (β = 0.095, p = .038) and pooled (β = 0.078, p = .004); the cross-wave</w:t>
      </w:r>
      <w:r>
        <w:t xml:space="preserve"> </w:t>
      </w:r>
      <w:r>
        <w:t xml:space="preserve">shifts are statistically distinguishable (Paternoster z = 3.353 between 2009 and 2015; z =</w:t>
      </w:r>
      <w:r>
        <w:t xml:space="preserve"> </w:t>
      </w:r>
      <w:r>
        <w:t xml:space="preserve">-2.051 between 2015 and 2023).</w:t>
      </w:r>
    </w:p>
    <w:p>
      <w:pPr>
        <w:pStyle w:val="BodyText"/>
      </w:pPr>
      <w:r>
        <w:t xml:space="preserve"> DAI moderation is concentrated in 2023, where FSTS_c × DAI_z = -0.912 (p = .043)</w:t>
      </w:r>
      <w:r>
        <w:t xml:space="preserve"> </w:t>
      </w:r>
      <w:r>
        <w:t xml:space="preserve">and the M8 joint test is marginal (p = .062); the pooled M8 joint test is also marginal (p</w:t>
      </w:r>
      <w:r>
        <w:t xml:space="preserve"> </w:t>
      </w:r>
      <w:r>
        <w:t xml:space="preserve">= .083), driven by 2023 rather than by a stable cross-period moderation.</w:t>
      </w:r>
    </w:p>
    <w:bookmarkEnd w:id="21"/>
    <w:bookmarkStart w:id="26" w:name="introduction"/>
    <w:p>
      <w:pPr>
        <w:pStyle w:val="Heading2"/>
      </w:pPr>
      <w:r>
        <w:t xml:space="preserve">1. Introduction</w:t>
      </w:r>
    </w:p>
    <w:bookmarkStart w:id="22" w:name="background-and-motivation"/>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w:t>
      </w:r>
    </w:p>
    <w:p>
      <w:pPr>
        <w:pStyle w:val="BodyText"/>
      </w:pPr>
      <w:r>
        <w:t xml:space="preserve">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w:t>
      </w:r>
    </w:p>
    <w:p>
      <w:pPr>
        <w:pStyle w:val="BodyText"/>
      </w:pPr>
      <w:r>
        <w:t xml:space="preserve">Digital tools can reduce</w:t>
      </w:r>
    </w:p>
    <w:p>
      <w:pPr>
        <w:pStyle w:val="BodyText"/>
      </w:pPr>
      <w:r>
        <w:t xml:space="preserve">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bookmarkEnd w:id="22"/>
    <w:bookmarkStart w:id="23" w:name="research-gap"/>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w:t>
      </w:r>
    </w:p>
    <w:bookmarkEnd w:id="23"/>
    <w:bookmarkStart w:id="24" w:name="contribution"/>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lifecycle interpretation of digital internationalisation.</w:t>
      </w:r>
    </w:p>
    <w:p>
      <w:pPr>
        <w:pStyle w:val="BodyText"/>
      </w:pPr>
      <w:r>
        <w:t xml:space="preserve">The</w:t>
      </w:r>
    </w:p>
    <w:p>
      <w:pPr>
        <w:pStyle w:val="BodyText"/>
      </w:pPr>
      <w:r>
        <w:t xml:space="preserve">evidence suggests that digital capability is neither a universally stable premium nor a uniformly</w:t>
      </w:r>
      <w:r>
        <w:t xml:space="preserve"> </w:t>
      </w:r>
      <w:r>
        <w:t xml:space="preserve">ineffective resource. Instead, it is an uneven and stage-dependent source of performance heterogeneity. This perspective helps explain why pooled average effects may coexist with substantial</w:t>
      </w:r>
      <w:r>
        <w:t xml:space="preserve"> </w:t>
      </w:r>
      <w:r>
        <w:t xml:space="preserve">wave-specific differences.</w:t>
      </w:r>
    </w:p>
    <w:p>
      <w:pPr>
        <w:pStyle w:val="BodyText"/>
      </w:pPr>
      <w:r>
        <w:t xml:space="preserve">A fourth contribution is contextual: Vietnam’s empirical pattern provides a participation-and-intensity decomposition showing that the robustly identified inverted-U (turning point 39–46 % FSTS) is driven primarily by the participation margin: within the exporter subsample, intensity variation yields flat to diminishing returns (Panel H), qualifying the conventional reading of the inverted-U pattern. The divergence between this pattern and those documented in digitally advanced economies, where the coordination-cost mechanism is attenuated by comprehensive digital infrastructure, points toward institution-level mechanisms as candidate moderators of I–P curve location. This within-context evidence anchors the digitally transitional end of the institutional spectrum.</w:t>
      </w:r>
    </w:p>
    <w:bookmarkEnd w:id="24"/>
    <w:bookmarkStart w:id="25" w:name="roadmap"/>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theory-and-hypotheses"/>
    <w:p>
      <w:pPr>
        <w:pStyle w:val="Heading2"/>
      </w:pPr>
      <w:r>
        <w:t xml:space="preserve">2. Theory and hypotheses</w:t>
      </w:r>
    </w:p>
    <w:bookmarkStart w:id="27" w:name="X3b7d35b763b13aa013dc5c38abee688672fbd10"/>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The internationalisation–performance relationship in Vietnam is non-monotonic</w:t>
      </w:r>
      <w:r>
        <w:t xml:space="preserve"> </w:t>
      </w:r>
      <w:r>
        <w:t xml:space="preserve">in the full sample and is best understood through a participation-and-intensity structure in a zero-inflated export setting. (H1a, participation margin) Crossing from</w:t>
      </w:r>
      <w:r>
        <w:t xml:space="preserve"> </w:t>
      </w:r>
      <w:r>
        <w:t xml:space="preserve">non-exporting (FSTS = 0) to exporting (FSTS &gt; 0) is positively associated with</w:t>
      </w:r>
      <w:r>
        <w:t xml:space="preserve"> </w:t>
      </w:r>
      <w:r>
        <w:t xml:space="preserve">labour productivity, capturing the learning-and-scale jump at entry. (H1b, intensity</w:t>
      </w:r>
      <w:r>
        <w:t xml:space="preserve"> </w:t>
      </w:r>
      <w:r>
        <w:t xml:space="preserve">margin) Within the exporter subsample, additional direct-export intensity is expected</w:t>
      </w:r>
      <w:r>
        <w:t xml:space="preserve"> </w:t>
      </w:r>
      <w:r>
        <w:t xml:space="preserve">to exhibit weaker, diminishing, or non-significant marginal returns relative to the</w:t>
      </w:r>
      <w:r>
        <w:t xml:space="preserve"> </w:t>
      </w:r>
      <w:r>
        <w:t xml:space="preserve">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8b6ab3bfb99752d9beaf4133c4607c74858df36"/>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Foreign-technology / standards capability (TCI_z) is positively associated with</w:t>
      </w:r>
      <w:r>
        <w:t xml:space="preserve"> </w:t>
      </w:r>
      <w:r>
        <w:t xml:space="preserve">firm performance in Vietnam.</w:t>
      </w:r>
    </w:p>
    <w:bookmarkEnd w:id="28"/>
    <w:bookmarkStart w:id="29" w:name="Xc172df63165a200a03f115512b27dddb3cfd513"/>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H3. Website-based digital presence (DAI_z) is positively associated with firm performance in Vietnam on average.</w:t>
      </w:r>
    </w:p>
    <w:bookmarkEnd w:id="29"/>
    <w:bookmarkStart w:id="33" w:name="stage-contingent-digital-value"/>
    <w:p>
      <w:pPr>
        <w:pStyle w:val="Heading3"/>
      </w:pPr>
      <w:r>
        <w:t xml:space="preserve">2.4 Stage-contingent digital value</w:t>
      </w:r>
    </w:p>
    <w:p>
      <w:pPr>
        <w:pStyle w:val="FirstParagraph"/>
      </w:pPr>
      <w:r>
        <w:t xml:space="preserve">The core theoretical claim of this study is that foundational digital adoption is stage contingent.</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t xml:space="preserve">H4 (exploratory). The productivity relevance of foundational digital adoption (DAI_z)</w:t>
      </w:r>
      <w:r>
        <w:t xml:space="preserve"> </w:t>
      </w:r>
      <w:r>
        <w:t xml:space="preserve">varies across phases of internationalisation and institutional transition. Any moderation of the export-intensity curve by foundational digital adoption is therefore</w:t>
      </w:r>
      <w:r>
        <w:t xml:space="preserve"> </w:t>
      </w:r>
      <w:r>
        <w:t xml:space="preserve">expected to be wave-specific rather than uniformly present across periods, with the</w:t>
      </w:r>
      <w:r>
        <w:t xml:space="preserve"> </w:t>
      </w:r>
      <w:r>
        <w:t xml:space="preserve">strongest within-sample detectability anticipated in 2023.</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FSTS_c2 )</w:t>
      </w:r>
      <w:r>
        <w:t xml:space="preserve"> </w:t>
      </w:r>
      <w:r>
        <w:t xml:space="preserve">(ln labour productivity)</w:t>
      </w:r>
      <w:r>
        <w:t xml:space="preserve"> </w:t>
      </w:r>
      <w:r>
        <w:t xml:space="preserve">H4 (mod., exploratory)</w:t>
      </w:r>
      <w:r>
        <w:t xml:space="preserve"> </w:t>
      </w:r>
      <w:r>
        <w:t xml:space="preserve">H3</w:t>
      </w:r>
    </w:p>
    <w:p>
      <w:pPr>
        <w:pStyle w:val="BodyText"/>
      </w:pPr>
      <w:r>
        <w:t xml:space="preserve">Foundational</w:t>
      </w:r>
      <w:r>
        <w:t xml:space="preserve"> </w:t>
      </w:r>
      <w:r>
        <w:t xml:space="preserve">Digital Adoption (DAI_z)</w:t>
      </w:r>
    </w:p>
    <w:p>
      <w:pPr>
        <w:pStyle w:val="BodyText"/>
      </w:pPr>
      <w:r>
        <w:t xml:space="preserve">Controls: lnEmp, FirmAge, ForeignOwned, sector FE [+ wave FE]</w:t>
      </w:r>
    </w:p>
    <w:p>
      <w:pPr>
        <w:pStyle w:val="CaptionedFigure"/>
      </w:pPr>
      <w:r>
        <w:drawing>
          <wp:inline>
            <wp:extent cx="3810000" cy="2540000"/>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p3_vietnam/figure_1_conceptual_model.png" id="32" name="Picture"/>
                    <pic:cNvPicPr>
                      <a:picLocks noChangeArrowheads="1" noChangeAspect="1"/>
                    </pic:cNvPicPr>
                  </pic:nvPicPr>
                  <pic:blipFill>
                    <a:blip r:embed="rId30"/>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The independent variable (internationalisation, FSTS_c and FSTS_c²) and the dependent variable (firm performance, ln labour productivity) anchor the IV–DV spine. Technological capability (TCI_z) and foundational digital adoption (DAI_z) act as direct effects (H2, H3) and as moderators of the FSTS curve (H2 moderation, H4 exploratory moderation). Controls are entered additively. Wave fixed effects apply to the pooled specification only.</w:t>
      </w:r>
    </w:p>
    <w:bookmarkEnd w:id="33"/>
    <w:bookmarkEnd w:id="34"/>
    <w:bookmarkStart w:id="39" w:name="data-variables-and-empirical-strategy"/>
    <w:p>
      <w:pPr>
        <w:pStyle w:val="Heading2"/>
      </w:pPr>
      <w:r>
        <w:t xml:space="preserve">3. Data, variables, and empirical strategy</w:t>
      </w:r>
    </w:p>
    <w:bookmarkStart w:id="35" w:name="data-structure"/>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variables"/>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w:t>
      </w:r>
    </w:p>
    <w:p>
      <w:pPr>
        <w:pStyle w:val="BodyText"/>
      </w:pPr>
      <w:r>
        <w:t xml:space="preserve">(FSTS_c ) so that linear and quadratic terms can be entered jointly to test for nonlinearity.</w:t>
      </w:r>
      <w:r>
        <w:t xml:space="preserve"> </w:t>
      </w:r>
      <w:r>
        <w:t xml:space="preserve">The analysis uses two distinct capability constructs.</w:t>
      </w:r>
    </w:p>
    <w:p>
      <w:pPr>
        <w:pStyle w:val="BodyText"/>
      </w:pPr>
      <w:r>
        <w:t xml:space="preserve">The Technological Capability Index</w:t>
      </w:r>
    </w:p>
    <w:p>
      <w:pPr>
        <w:pStyle w:val="BodyText"/>
      </w:pPr>
      <w:r>
        <w:t xml:space="preserve">(TCI_z)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w:t>
      </w:r>
      <w:r>
        <w:t xml:space="preserve"> </w:t>
      </w:r>
      <w:r>
        <w:t xml:space="preserve">annual sales and l1 is permanent full-time employees. Internationalisation is FSTS = d3c / 100,</w:t>
      </w:r>
    </w:p>
    <w:p>
      <w:pPr>
        <w:pStyle w:val="BodyText"/>
      </w:pPr>
      <w:r>
        <w:t xml:space="preserve">mean-centred within wave (FSTS_c) and squared (FSTS_c ).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w:t>
      </w:r>
    </w:p>
    <w:p>
      <w:pPr>
        <w:pStyle w:val="BodyText"/>
      </w:pPr>
      <w:r>
        <w:t xml:space="preserve">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Cross-paper construct comparability note.</w:t>
      </w:r>
      <w:r>
        <w:t xml:space="preserve"> </w:t>
      </w:r>
      <w:r>
        <w:t xml:space="preserve">The DAI_z construct in this paper (Tier 1 only: website binary c22b) is not directly comparable to richer DAI measures used in companion working papers on Singapore and China (available from authors upon request). A Tier 1+2 composite — combining website presence with electronic payment intensity — is associated with a positive quadratic interaction with export intensity in an advanced institutional context, consistent with digital adoption functioning as a conditional scaling lever where the richer composite captures transaction-enabling mechanisms that scale with cross-border coordination demands. The contrasting sign for the Vietnam Tier 1-only indicator (FSTS_c × DAI_z = −0.912, p = .043) reflects construct-tier obsolescence rather than a contradictory theoretical mechanism: Tier 1 website presence has become a minimum-threshold credential in Vietnam’s maturing digital environment and no longer differentiates firms’ cross-border coordination capacity at high export intensity. The DAI_rich robustness composite available in the 2023 wave partially bridges this gap for within-wave sensitivity analysis, but cross-wave comparability limits its use as the primary measure.</w:t>
      </w:r>
    </w:p>
    <w:p>
      <w:pPr>
        <w:pStyle w:val="BodyText"/>
      </w:pPr>
      <w:r>
        <w:t xml:space="preserve">Controls are standard. Firm size lnEmp = ln(l1). Firm age FirmAge = survey year minus</w:t>
      </w:r>
      <w:r>
        <w:t xml:space="preserve"> </w:t>
      </w:r>
      <w:r>
        <w:t xml:space="preserve">b5 (year established). Foreign ownership ForeignOwned = 1 if b2b (percentage of equity owned</w:t>
      </w:r>
      <w:r>
        <w:t xml:space="preserve"> </w:t>
      </w:r>
      <w:r>
        <w:t xml:space="preserve">by private foreign individuals or firms) &gt; 0. Sector fixed effects use the first digit of a4b (broad</w:t>
      </w:r>
      <w:r>
        <w:t xml:space="preserve"> </w:t>
      </w:r>
      <w:r>
        <w:t xml:space="preserve">ISIC code) for the 2009 and 2015 waves and the first digit of a4a for the 2023 wave, where a4b</w:t>
      </w:r>
      <w:r>
        <w:t xml:space="preserve"> </w:t>
      </w:r>
      <w:r>
        <w:t xml:space="preserve">is not in the public release. Pooled specifications add wave fixed effects to absorb broad period</w:t>
      </w:r>
      <w:r>
        <w:t xml:space="preserve"> </w:t>
      </w:r>
      <w:r>
        <w:t xml:space="preserve">differences in the productivity baseline.</w:t>
      </w:r>
      <w:r>
        <w:t xml:space="preserve"> </w:t>
      </w:r>
      <w:r>
        <w:t xml:space="preserve">A note on missing-code handling.</w:t>
      </w:r>
    </w:p>
    <w:p>
      <w:pPr>
        <w:pStyle w:val="BodyText"/>
      </w:pPr>
      <w:r>
        <w:t xml:space="preserve">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model-sequence"/>
    <w:p>
      <w:pPr>
        <w:pStyle w:val="Heading3"/>
      </w:pPr>
      <w:r>
        <w:t xml:space="preserve">3.3 Model sequence</w:t>
      </w:r>
    </w:p>
    <w:p>
      <w:pPr>
        <w:pStyle w:val="FirstParagraph"/>
      </w:pPr>
      <w:r>
        <w:t xml:space="preserve">The empirical strategy follows a nested sequence of models, all estimated by ordinary least</w:t>
      </w:r>
      <w:r>
        <w:t xml:space="preserve"> </w:t>
      </w:r>
      <w:r>
        <w:t xml:space="preserve">squares with HC1 robust standard errors. A control model establishes the baseline. A linear</w:t>
      </w:r>
      <w:r>
        <w:t xml:space="preserve"> </w:t>
      </w:r>
      <w:r>
        <w:t xml:space="preserve">internationalisation model then introduces FSTS_c. A nonlinear model adds the quadratic term</w:t>
      </w:r>
      <w:r>
        <w:t xml:space="preserve"> </w:t>
      </w:r>
      <w:r>
        <w:t xml:space="preserve">FSTS_c</w:t>
      </w:r>
    </w:p>
    <w:p>
      <w:pPr>
        <w:pStyle w:val="BodyText"/>
      </w:pPr>
      <w:r>
        <w:t xml:space="preserve">2 to test for curvature. Additional models introduce TCI_z and DAI_z separately, first</w:t>
      </w:r>
    </w:p>
    <w:p>
      <w:pPr>
        <w:pStyle w:val="BodyText"/>
      </w:pPr>
      <w:r>
        <w:t xml:space="preserve">in specifications that allow interaction terms with FSTS_c and FSTS_c , and then in directeffect specifications. The final full model includes the nonlinear internationalisation terms, both</w:t>
      </w:r>
      <w:r>
        <w:t xml:space="preserve"> </w:t>
      </w:r>
      <w:r>
        <w:t xml:space="preserve">direct capability measures, and the interaction terms involving digital adoption.</w:t>
      </w:r>
      <w:r>
        <w:t xml:space="preserve"> </w:t>
      </w:r>
      <w:r>
        <w:t xml:space="preserve">This design separates three analytical questions.</w:t>
      </w:r>
    </w:p>
    <w:p>
      <w:pPr>
        <w:pStyle w:val="BodyText"/>
      </w:pPr>
      <w:r>
        <w:t xml:space="preserve">First, is the I–P relationship nonlinear?</w:t>
      </w:r>
    </w:p>
    <w:p>
      <w:pPr>
        <w:pStyle w:val="BodyText"/>
      </w:pPr>
      <w:r>
        <w:t xml:space="preserve">Second, are TCI_z and DAI_z directly associated with performance? Third, does the role of</w:t>
      </w:r>
      <w:r>
        <w:t xml:space="preserve"> </w:t>
      </w:r>
      <w:r>
        <w:t xml:space="preserve">foundational digital adoption become more conditional as export intensity rises? Throughout,</w:t>
      </w:r>
      <w:r>
        <w:t xml:space="preserve"> </w:t>
      </w:r>
      <w:r>
        <w:t xml:space="preserve">results are described as associations rather than effects, consistent with the inferential limits of</w:t>
      </w:r>
      <w:r>
        <w:t xml:space="preserve"> </w:t>
      </w:r>
      <w:r>
        <w:t xml:space="preserve">repeated-cross-section data (Antonakis et al., 2010; Wooldridge, 2010).</w:t>
      </w:r>
    </w:p>
    <w:bookmarkEnd w:id="37"/>
    <w:bookmarkStart w:id="38" w:name="replication-and-reproducibility"/>
    <w:p>
      <w:pPr>
        <w:pStyle w:val="Heading3"/>
      </w:pPr>
      <w:r>
        <w:t xml:space="preserve">3.4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w:t>
      </w:r>
    </w:p>
    <w:p>
      <w:pPr>
        <w:pStyle w:val="BodyText"/>
      </w:pPr>
      <w:r>
        <w:t xml:space="preserve">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8"/>
    <w:bookmarkEnd w:id="39"/>
    <w:bookmarkStart w:id="61" w:name="results"/>
    <w:p>
      <w:pPr>
        <w:pStyle w:val="Heading2"/>
      </w:pPr>
      <w:r>
        <w:t xml:space="preserve">4. Results</w:t>
      </w:r>
    </w:p>
    <w:p>
      <w:pPr>
        <w:pStyle w:val="FirstParagraph"/>
      </w:pPr>
      <w:r>
        <w:t xml:space="preserve">Table 1 reports analytic-sample summary statistics by wave. Three patterns are worth noting</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0" w:name="wave-specific-findings"/>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w:t>
      </w:r>
      <w:r>
        <w:t xml:space="preserve"> </w:t>
      </w:r>
      <w:r>
        <w:t xml:space="preserve">joint p = .040; FSTS_c × TCI_z = -0.579, p = .087), but DAI moderation is not (M4 joint</w:t>
      </w:r>
    </w:p>
    <w:p>
      <w:pPr>
        <w:pStyle w:val="BodyText"/>
      </w:pPr>
      <w:r>
        <w:t xml:space="preserve">Table 1: Analytic-sample summary statistics by wave.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w:t>
      </w:r>
    </w:p>
    <w:p>
      <w:pPr>
        <w:pStyle w:val="BodyText"/>
      </w:pPr>
      <w:r>
        <w:t xml:space="preserve">Pooled</w:t>
      </w:r>
    </w:p>
    <w:p>
      <w:pPr>
        <w:pStyle w:val="BodyText"/>
      </w:pPr>
      <w:r>
        <w:t xml:space="preserve">(N = 989)</w:t>
      </w:r>
    </w:p>
    <w:p>
      <w:pPr>
        <w:pStyle w:val="BodyText"/>
      </w:pPr>
      <w:r>
        <w:t xml:space="preserve">(N = 956)</w:t>
      </w:r>
    </w:p>
    <w:p>
      <w:pPr>
        <w:pStyle w:val="BodyText"/>
      </w:pPr>
      <w:r>
        <w:t xml:space="preserve">(N = 1,013)</w:t>
      </w:r>
    </w:p>
    <w:p>
      <w:pPr>
        <w:pStyle w:val="BodyText"/>
      </w:pPr>
      <w:r>
        <w:t xml:space="preserve">(N = 2,958)</w:t>
      </w:r>
    </w:p>
    <w:p>
      <w:pPr>
        <w:pStyle w:val="BodyText"/>
      </w:pPr>
      <w:r>
        <w:t xml:space="preserve">ln LP (log labour productivity)</w:t>
      </w:r>
      <w:r>
        <w:t xml:space="preserve"> </w:t>
      </w:r>
      <w:r>
        <w:t xml:space="preserve">FSTS (direct-export share)</w:t>
      </w:r>
      <w:r>
        <w:t xml:space="preserve"> </w:t>
      </w:r>
      <w:r>
        <w:t xml:space="preserve">Exporter (FSTS &gt; 0) share</w:t>
      </w:r>
      <w:r>
        <w:t xml:space="preserve"> </w:t>
      </w:r>
      <w:r>
        <w:t xml:space="preserve">TCI_z (mean of b8, e6 recoded)</w:t>
      </w:r>
      <w:r>
        <w:t xml:space="preserve"> </w:t>
      </w:r>
      <w:r>
        <w:t xml:space="preserve">DAI (c22b own website, recoded)</w:t>
      </w:r>
      <w:r>
        <w:t xml:space="preserve"> </w:t>
      </w:r>
      <w:r>
        <w:t xml:space="preserve">ln Emp (log permanent employees)</w:t>
      </w:r>
      <w:r>
        <w:t xml:space="preserve"> </w:t>
      </w:r>
      <w:r>
        <w:t xml:space="preserve">Firm Age (years since b5)</w:t>
      </w:r>
      <w:r>
        <w:t xml:space="preserve"> </w:t>
      </w:r>
      <w:r>
        <w:t xml:space="preserve">Foreign Owned (b2b &gt; 0) share</w:t>
      </w:r>
    </w:p>
    <w:p>
      <w:pPr>
        <w:pStyle w:val="BodyText"/>
      </w:pPr>
      <w:r>
        <w:t xml:space="preserve">19.41 (1.31)</w:t>
      </w:r>
      <w:r>
        <w:t xml:space="preserve"> </w:t>
      </w:r>
      <w:r>
        <w:t xml:space="preserve">0.168 (0.337)</w:t>
      </w:r>
      <w:r>
        <w:t xml:space="preserve"> </w:t>
      </w:r>
      <w:r>
        <w:t xml:space="preserve">0.284</w:t>
      </w:r>
      <w:r>
        <w:t xml:space="preserve"> </w:t>
      </w:r>
      <w:r>
        <w:t xml:space="preserve">0.169 (0.305)</w:t>
      </w:r>
      <w:r>
        <w:t xml:space="preserve"> </w:t>
      </w:r>
      <w:r>
        <w:t xml:space="preserve">0.425 (0.495)</w:t>
      </w:r>
      <w:r>
        <w:t xml:space="preserve"> </w:t>
      </w:r>
      <w:r>
        <w:t xml:space="preserve">4.07 (1.49)</w:t>
      </w:r>
      <w:r>
        <w:t xml:space="preserve"> </w:t>
      </w:r>
      <w:r>
        <w:t xml:space="preserve">11.9 (11.3)</w:t>
      </w:r>
      <w:r>
        <w:t xml:space="preserve"> </w:t>
      </w:r>
      <w:r>
        <w:t xml:space="preserve">0.142</w:t>
      </w:r>
    </w:p>
    <w:p>
      <w:pPr>
        <w:pStyle w:val="BodyText"/>
      </w:pPr>
      <w:r>
        <w:t xml:space="preserve">20.04 (1.46)</w:t>
      </w:r>
      <w:r>
        <w:t xml:space="preserve"> </w:t>
      </w:r>
      <w:r>
        <w:t xml:space="preserve">0.120 (0.284)</w:t>
      </w:r>
      <w:r>
        <w:t xml:space="preserve"> </w:t>
      </w:r>
      <w:r>
        <w:t xml:space="preserve">0.208</w:t>
      </w:r>
      <w:r>
        <w:t xml:space="preserve"> </w:t>
      </w:r>
      <w:r>
        <w:t xml:space="preserve">0.141 (0.295)</w:t>
      </w:r>
      <w:r>
        <w:t xml:space="preserve"> </w:t>
      </w:r>
      <w:r>
        <w:t xml:space="preserve">0.483 (0.500)</w:t>
      </w:r>
      <w:r>
        <w:t xml:space="preserve"> </w:t>
      </w:r>
      <w:r>
        <w:t xml:space="preserve">3.63 (1.48)</w:t>
      </w:r>
      <w:r>
        <w:t xml:space="preserve"> </w:t>
      </w:r>
      <w:r>
        <w:t xml:space="preserve">12.8 (9.6)</w:t>
      </w:r>
      <w:r>
        <w:t xml:space="preserve"> </w:t>
      </w:r>
      <w:r>
        <w:t xml:space="preserve">0.090</w:t>
      </w:r>
    </w:p>
    <w:p>
      <w:pPr>
        <w:pStyle w:val="BodyText"/>
      </w:pPr>
      <w:r>
        <w:t xml:space="preserve">20.55 (1.47)</w:t>
      </w:r>
      <w:r>
        <w:t xml:space="preserve"> </w:t>
      </w:r>
      <w:r>
        <w:t xml:space="preserve">0.131 (0.311)</w:t>
      </w:r>
      <w:r>
        <w:t xml:space="preserve"> </w:t>
      </w:r>
      <w:r>
        <w:t xml:space="preserve">0.188</w:t>
      </w:r>
      <w:r>
        <w:t xml:space="preserve"> </w:t>
      </w:r>
      <w:r>
        <w:t xml:space="preserve">0.146 (0.276)</w:t>
      </w:r>
      <w:r>
        <w:t xml:space="preserve"> </w:t>
      </w:r>
      <w:r>
        <w:t xml:space="preserve">0.498 (0.500)</w:t>
      </w:r>
      <w:r>
        <w:t xml:space="preserve"> </w:t>
      </w:r>
      <w:r>
        <w:t xml:space="preserve">3.58 (1.54)</w:t>
      </w:r>
      <w:r>
        <w:t xml:space="preserve"> </w:t>
      </w:r>
      <w:r>
        <w:t xml:space="preserve">14.1 (7.9)</w:t>
      </w:r>
      <w:r>
        <w:t xml:space="preserve"> </w:t>
      </w:r>
      <w:r>
        <w:t xml:space="preserve">0.125</w:t>
      </w:r>
    </w:p>
    <w:p>
      <w:pPr>
        <w:pStyle w:val="BodyText"/>
      </w:pPr>
      <w:r>
        <w:t xml:space="preserve">20.00 (1.49)</w:t>
      </w:r>
      <w:r>
        <w:t xml:space="preserve"> </w:t>
      </w:r>
      <w:r>
        <w:t xml:space="preserve">0.140 (0.312)</w:t>
      </w:r>
      <w:r>
        <w:t xml:space="preserve"> </w:t>
      </w:r>
      <w:r>
        <w:t xml:space="preserve">0.226</w:t>
      </w:r>
      <w:r>
        <w:t xml:space="preserve"> </w:t>
      </w:r>
      <w:r>
        <w:t xml:space="preserve">0.152 (0.292)</w:t>
      </w:r>
      <w:r>
        <w:t xml:space="preserve"> </w:t>
      </w:r>
      <w:r>
        <w:t xml:space="preserve">0.469 (0.499)</w:t>
      </w:r>
      <w:r>
        <w:t xml:space="preserve"> </w:t>
      </w:r>
      <w:r>
        <w:t xml:space="preserve">3.76 (1.52)</w:t>
      </w:r>
      <w:r>
        <w:t xml:space="preserve"> </w:t>
      </w:r>
      <w:r>
        <w:t xml:space="preserve">12.9 (9.7)</w:t>
      </w:r>
      <w:r>
        <w:t xml:space="preserve"> </w:t>
      </w:r>
      <w:r>
        <w:t xml:space="preserve">0.119</w:t>
      </w:r>
    </w:p>
    <w:p>
      <w:pPr>
        <w:pStyle w:val="BodyText"/>
      </w:pPr>
      <w:r>
        <w:t xml:space="preserve">ISIC sector fixed effects</w:t>
      </w:r>
    </w:p>
    <w:p>
      <w:pPr>
        <w:pStyle w:val="BodyText"/>
      </w:pPr>
      <w:r>
        <w:t xml:space="preserve">a4b 1-digit</w:t>
      </w:r>
    </w:p>
    <w:p>
      <w:pPr>
        <w:pStyle w:val="BodyText"/>
      </w:pPr>
      <w:r>
        <w:t xml:space="preserve">a4b 1-digit</w:t>
      </w:r>
    </w:p>
    <w:p>
      <w:pPr>
        <w:pStyle w:val="BodyText"/>
      </w:pPr>
      <w:r>
        <w:t xml:space="preserve">a4a 1-digit</w:t>
      </w:r>
    </w:p>
    <w:p>
      <w:pPr>
        <w:pStyle w:val="BodyText"/>
      </w:pPr>
      <w:r>
        <w:t xml:space="preserve">wave + a4b/a4a</w:t>
      </w:r>
    </w:p>
    <w:p>
      <w:pPr>
        <w:pStyle w:val="BodyText"/>
      </w:pPr>
      <w:r>
        <w:t xml:space="preserve">Cell entries are mean (standard deviation) for continuous variables and proportion for binary indicators.</w:t>
      </w:r>
      <w:r>
        <w:t xml:space="preserve"> </w:t>
      </w:r>
      <w:r>
        <w:t xml:space="preserve">Listwise deletion is applied on the focal variable set with WBES non-response codes (−9) treated as missing.</w:t>
      </w:r>
      <w:r>
        <w:t xml:space="preserve"> </w:t>
      </w:r>
      <w:r>
        <w:t xml:space="preserve">Source: World Bank Enterprise Surveys (Vietnam 2009, 2015, 2023), www.enterprisesurveys.org; authors’ calculations.</w:t>
      </w:r>
      <w:r>
        <w:t xml:space="preserve"> </w:t>
      </w:r>
      <w:r>
        <w:t xml:space="preserve">Notes.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p>
    <w:p>
      <w:pPr>
        <w:pStyle w:val="BodyText"/>
      </w:pPr>
      <w:r>
        <w:t xml:space="preserve">2 β = -2.115 (p = .004), with Lind–Mehlum p =</w:t>
      </w:r>
    </w:p>
    <w:p>
      <w:pPr>
        <w:pStyle w:val="BodyText"/>
      </w:pPr>
      <w:r>
        <w:t xml:space="preserve">FSTS_c β = 1.159 (p = .029) and FSTS_c</w:t>
      </w:r>
    </w:p>
    <w:p>
      <w:pPr>
        <w:pStyle w:val="BodyText"/>
      </w:pPr>
      <w:r>
        <w:t xml:space="preserve">.009.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w:t>
      </w:r>
    </w:p>
    <w:p>
      <w:pPr>
        <w:pStyle w:val="BodyText"/>
      </w:pPr>
      <w:r>
        <w:t xml:space="preserve">M2 again</w:t>
      </w:r>
    </w:p>
    <w:p>
      <w:pPr>
        <w:pStyle w:val="BodyText"/>
      </w:pPr>
      <w:r>
        <w:t xml:space="preserve">indicates a clear inverted-U (FSTS_c β = 0.962, p = .039; FSTS_c β = -1.686, p = .008;</w:t>
      </w:r>
      <w:r>
        <w:t xml:space="preserve"> </w:t>
      </w:r>
      <w:r>
        <w:t xml:space="preserve">Lind–Mehlum p = .013).</w:t>
      </w:r>
    </w:p>
    <w:p>
      <w:pPr>
        <w:pStyle w:val="BodyText"/>
      </w:pPr>
      <w:r>
        <w:t xml:space="preserve">In the dual-direct M7, both capability dimensions are positive and</w:t>
      </w:r>
    </w:p>
    <w:p>
      <w:pPr>
        <w:pStyle w:val="BodyText"/>
      </w:pPr>
      <w:r>
        <w:t xml:space="preserve">significant (TCI_z β = 0.123, p = .006; DAI_z β = 0.095, p = .038). When the DAI interaction</w:t>
      </w:r>
      <w:r>
        <w:t xml:space="preserve"> </w:t>
      </w:r>
      <w:r>
        <w:t xml:space="preserve">terms are added in M8, the linear interaction is negative and individually significant (FSTS_c</w:t>
      </w:r>
    </w:p>
    <w:p>
      <w:pPr>
        <w:pStyle w:val="BodyText"/>
      </w:pPr>
      <w:r>
        <w:t xml:space="preserve">× DAI_z = -0.912, p = .043), the quadratic interaction is positive and marginal (FSTS_c2 ×</w:t>
      </w:r>
      <w:r>
        <w:t xml:space="preserve"> </w:t>
      </w:r>
      <w:r>
        <w:t xml:space="preserve">DAI_z = 1.043, p = .099), and the joint test sits at marginal significance (M4 joint p = .102;</w:t>
      </w:r>
    </w:p>
    <w:p>
      <w:pPr>
        <w:pStyle w:val="BodyText"/>
      </w:pPr>
      <w:r>
        <w:t xml:space="preserve">M8 joint p = .062). The substantive reading is that, by 2023, basic digital adoption becomes</w:t>
      </w:r>
      <w:r>
        <w:t xml:space="preserve"> </w:t>
      </w:r>
      <w:r>
        <w:t xml:space="preserve">more conditional on export intensity:</w:t>
      </w:r>
    </w:p>
    <w:p>
      <w:pPr>
        <w:pStyle w:val="BodyText"/>
      </w:pPr>
      <w:r>
        <w:t xml:space="preserve">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w:t>
      </w:r>
      <w:r>
        <w:t xml:space="preserve"> </w:t>
      </w:r>
      <w:r>
        <w:t xml:space="preserve">“</w:t>
      </w:r>
      <w:r>
        <w:t xml:space="preserve">digital adoption is bad</w:t>
      </w:r>
      <w:r>
        <w:t xml:space="preserve">”</w:t>
      </w:r>
      <w:r>
        <w:t xml:space="preserve"> </w:t>
      </w:r>
      <w:r>
        <w:t xml:space="preserve">— instead, the instrument has lost its discriminatory power as Tier 1 adoption has diffused to near-universal levels (49.8% in 2023 vs 42.5% in 2009). This reading is consistent with evidence from a companion working paper on Singapore (available from authors upon request), where a Tier 1+2 DAI composite retains a positive interaction with export intensity: once electronic payment intensity (Tier 2) is captured alongside website presence, the composite retains sufficient variation to identify the conditional scaling role. Future analyses using the DAI_rich composite (Tier 1+2; Panel B, 2023 only) would provide a within-wave test of whether the sign shifts when Tier 2 is added in the Vietnamese context.</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w:t>
      </w:r>
      <w:r>
        <w:rPr>
          <w:iCs/>
          <w:i/>
        </w:rPr>
        <w:t xml:space="preserve">), null in 2015 (β = -0.044 n.s.), and</w:t>
      </w:r>
      <w:r>
        <w:rPr>
          <w:iCs/>
          <w:i/>
        </w:rPr>
        <w:t xml:space="preserve"> </w:t>
      </w:r>
      <w:r>
        <w:rPr>
          <w:iCs/>
          <w:i/>
        </w:rPr>
        <w:t xml:space="preserve">re-emerging in 2023 (β = 0.095</w:t>
      </w:r>
      <w:r>
        <w:rPr>
          <w:iCs/>
          <w:i/>
        </w:rPr>
        <w:t xml:space="preserve"> </w:t>
      </w:r>
      <w:r>
        <w:t xml:space="preserve">)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w:t>
      </w:r>
    </w:p>
    <w:p>
      <w:pPr>
        <w:pStyle w:val="BodyText"/>
      </w:pPr>
      <w:r>
        <w:t xml:space="preserve">2 = -2.115, p = .004 in M2) but the digital channel</w:t>
      </w:r>
    </w:p>
    <w:p>
      <w:pPr>
        <w:pStyle w:val="BodyText"/>
      </w:pPr>
      <w:r>
        <w:t xml:space="preserve">I–P curvature is unusually sharp (FSTS_c</w:t>
      </w:r>
      <w:r>
        <w:t xml:space="preserve"> </w:t>
      </w:r>
      <w:r>
        <w:t xml:space="preserve">compresses entirely:</w:t>
      </w:r>
    </w:p>
    <w:p>
      <w:pPr>
        <w:pStyle w:val="BodyText"/>
      </w:pPr>
      <w:r>
        <w:t xml:space="preserve">DAI_z loses direct salience and shows no joint moderation, suggesting</w:t>
      </w:r>
    </w:p>
    <w:p>
      <w:pPr>
        <w:pStyle w:val="BodyText"/>
      </w:pPr>
      <w:r>
        <w:t xml:space="preserve">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0"/>
    <w:bookmarkStart w:id="53" w:name="pooled-findings"/>
    <w:p>
      <w:pPr>
        <w:pStyle w:val="Heading3"/>
      </w:pPr>
      <w:r>
        <w:t xml:space="preserve">4.2 Pooled findings</w:t>
      </w:r>
    </w:p>
    <w:p>
      <w:pPr>
        <w:pStyle w:val="FirstParagraph"/>
      </w:pPr>
      <w:r>
        <w:t xml:space="preserve">The pooled estimates confirm that the internationalisation–performance relationship is nonlinear</w:t>
      </w:r>
      <w:r>
        <w:t xml:space="preserve"> </w:t>
      </w:r>
      <w:r>
        <w:t xml:space="preserve">on average. In the pooled M2 specification, the linear FSTS_c term is positive (β = 0.984, p</w:t>
      </w:r>
    </w:p>
    <w:p>
      <w:pPr>
        <w:pStyle w:val="BodyText"/>
      </w:pPr>
      <w:r>
        <w:t xml:space="preserve">2 term is negative (β = -1.909, p &lt; .001); the Lind–Mehlum</w:t>
      </w:r>
    </w:p>
    <w:p>
      <w:pPr>
        <w:pStyle w:val="BodyText"/>
      </w:pPr>
      <w:r>
        <w:t xml:space="preserve">&lt; .001) and the quadratic FSTS_c</w:t>
      </w:r>
    </w:p>
    <w:p>
      <w:pPr>
        <w:pStyle w:val="BodyText"/>
      </w:pPr>
      <w:r>
        <w:t xml:space="preserve">test rejects monotonicity at p &lt; .001 with an estimated turning point at 39.7 per cent of directexport intensity. The curvature persists in the full M8 specification (FSTS_c β = 0.845, p = .006;</w:t>
      </w:r>
      <w:r>
        <w:t xml:space="preserve"> </w:t>
      </w:r>
      <w:r>
        <w:t xml:space="preserve">FSTS_c</w:t>
      </w:r>
    </w:p>
    <w:p>
      <w:pPr>
        <w:pStyle w:val="BodyText"/>
      </w:pPr>
      <w:r>
        <w:t xml:space="preserve">2 β = -1.650, p &lt; .001), supporting H1 and aligning with the meta-analytic evidence</w:t>
      </w:r>
    </w:p>
    <w:p>
      <w:pPr>
        <w:pStyle w:val="BodyText"/>
      </w:pPr>
      <w:r>
        <w:t xml:space="preserve">on the nonlinear shape of internationalisation returns in emerging-market firms (Marano et al.,</w:t>
      </w:r>
      <w:r>
        <w:t xml:space="preserve"> </w:t>
      </w:r>
      <w:r>
        <w:t xml:space="preserve">2016).</w:t>
      </w:r>
      <w:r>
        <w:t xml:space="preserve"> </w:t>
      </w:r>
      <w:r>
        <w:t xml:space="preserve">The pooled evidence shows that both technological capability and basic digital adoption are</w:t>
      </w:r>
      <w:r>
        <w:t xml:space="preserve"> </w:t>
      </w:r>
      <w:r>
        <w:t xml:space="preserve">positively associated with firm performance on average. In the pooled M7 dual-direct specification, TCI_z is positive (β = 0.179, p &lt; .001), and DAI_z is positive</w:t>
      </w:r>
      <w:r>
        <w:t xml:space="preserve"> </w:t>
      </w:r>
      <w:r>
        <w:t xml:space="preserve">and significant (β = 0.078, p = .004).</w:t>
      </w:r>
    </w:p>
    <w:p>
      <w:pPr>
        <w:pStyle w:val="BodyText"/>
      </w:pPr>
      <w:r>
        <w:t xml:space="preserve">In the full M8 specification, the TCI_z coefficient is</w:t>
      </w:r>
    </w:p>
    <w:p>
      <w:pPr>
        <w:pStyle w:val="BodyText"/>
      </w:pPr>
      <w:r>
        <w:t xml:space="preserve">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w:t>
      </w:r>
    </w:p>
    <w:p>
      <w:pPr>
        <w:pStyle w:val="BodyText"/>
      </w:pPr>
      <w:r>
        <w:t xml:space="preserve">The linear</w:t>
      </w:r>
    </w:p>
    <w:p>
      <w:pPr>
        <w:pStyle w:val="BodyText"/>
      </w:pPr>
      <w:r>
        <w:t xml:space="preserve">interaction is negative but not individually significant (FSTS_c × DAI_z = -0.448, p = .116),</w:t>
      </w:r>
      <w:r>
        <w:t xml:space="preserve"> </w:t>
      </w:r>
      <w:r>
        <w:t xml:space="preserve">and the quadratic interaction is positive but not significant (FSTS_c</w:t>
      </w:r>
    </w:p>
    <w:p>
      <w:pPr>
        <w:pStyle w:val="BodyText"/>
      </w:pPr>
      <w:r>
        <w:t xml:space="preserve">2 × DAI_z = 0.460, p =</w:t>
      </w:r>
    </w:p>
    <w:p>
      <w:pPr>
        <w:pStyle w:val="BodyText"/>
      </w:pPr>
      <w:r>
        <w:t xml:space="preserve">.276). The joint Wald test sits at marginal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reaches marginal significance only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w:t>
      </w:r>
    </w:p>
    <w:p>
      <w:pPr>
        <w:pStyle w:val="BodyText"/>
      </w:pPr>
      <w:r>
        <w:t xml:space="preserve">The M3</w:t>
      </w:r>
    </w:p>
    <w:p>
      <w:pPr>
        <w:pStyle w:val="BodyText"/>
      </w:pPr>
      <w:r>
        <w:t xml:space="preserve">joint test on FSTS_c × TCI_z and FSTS_c × TCI_z is statistically distinguishable from</w:t>
      </w:r>
      <w:r>
        <w:t xml:space="preserve"> </w:t>
      </w:r>
      <w:r>
        <w:t xml:space="preserve">zero in three of four panels (2009 p = .040, 2023 p = .027, pooled p = .003) and null only in</w:t>
      </w:r>
      <w:r>
        <w:t xml:space="preserve"> </w:t>
      </w:r>
      <w:r>
        <w:t xml:space="preserve">2015 (p = .713). Pooled, the linear interaction is negative (FSTS_c × TCI_z = -0.587, p =</w:t>
      </w:r>
      <w:r>
        <w:t xml:space="preserve"> </w:t>
      </w:r>
      <w:r>
        <w:t xml:space="preserve">.003) and the quadratic is positive (FSTS_c</w:t>
      </w:r>
    </w:p>
    <w:p>
      <w:pPr>
        <w:pStyle w:val="BodyText"/>
      </w:pPr>
      <w:r>
        <w:t xml:space="preserve">2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r>
        <w:t xml:space="preserve"> </w:t>
      </w:r>
      <w:r>
        <w:t xml:space="preserve">shows that this conclusion would be incomplete.</w:t>
      </w:r>
    </w:p>
    <w:p>
      <w:pPr>
        <w:pStyle w:val="BodyText"/>
      </w:pPr>
      <w:r>
        <w:t xml:space="preserve">The wave-specific evidence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CaptionedFigure"/>
      </w:pPr>
      <w:r>
        <w:drawing>
          <wp:inline>
            <wp:extent cx="5334000" cy="3782759"/>
            <wp:effectExtent b="0" l="0" r="0" t="0"/>
            <wp:docPr descr="Figure 2a: Wave 2009 — predicted ln(labour productivity) vs FSTS" title="" id="42" name="Picture"/>
            <a:graphic>
              <a:graphicData uri="http://schemas.openxmlformats.org/drawingml/2006/picture">
                <pic:pic>
                  <pic:nvPicPr>
                    <pic:cNvPr descr="figures/p3_vietnam/figure_2a.png" id="43" name="Picture"/>
                    <pic:cNvPicPr>
                      <a:picLocks noChangeArrowheads="1" noChangeAspect="1"/>
                    </pic:cNvPicPr>
                  </pic:nvPicPr>
                  <pic:blipFill>
                    <a:blip r:embed="rId41"/>
                    <a:stretch>
                      <a:fillRect/>
                    </a:stretch>
                  </pic:blipFill>
                  <pic:spPr bwMode="auto">
                    <a:xfrm>
                      <a:off x="0" y="0"/>
                      <a:ext cx="5334000" cy="3782759"/>
                    </a:xfrm>
                    <a:prstGeom prst="rect">
                      <a:avLst/>
                    </a:prstGeom>
                    <a:noFill/>
                    <a:ln w="9525">
                      <a:noFill/>
                      <a:headEnd/>
                      <a:tailEnd/>
                    </a:ln>
                  </pic:spPr>
                </pic:pic>
              </a:graphicData>
            </a:graphic>
          </wp:inline>
        </w:drawing>
      </w:r>
    </w:p>
    <w:p>
      <w:pPr>
        <w:pStyle w:val="ImageCaption"/>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CaptionedFigure"/>
      </w:pPr>
      <w:r>
        <w:drawing>
          <wp:inline>
            <wp:extent cx="5334000" cy="3784587"/>
            <wp:effectExtent b="0" l="0" r="0" t="0"/>
            <wp:docPr descr="Figure 2b: Wave 2015 — predicted ln(labour productivity) vs FSTS" title="" id="45" name="Picture"/>
            <a:graphic>
              <a:graphicData uri="http://schemas.openxmlformats.org/drawingml/2006/picture">
                <pic:pic>
                  <pic:nvPicPr>
                    <pic:cNvPr descr="figures/p3_vietnam/figure_2b.png" id="46" name="Picture"/>
                    <pic:cNvPicPr>
                      <a:picLocks noChangeArrowheads="1" noChangeAspect="1"/>
                    </pic:cNvPicPr>
                  </pic:nvPicPr>
                  <pic:blipFill>
                    <a:blip r:embed="rId44"/>
                    <a:stretch>
                      <a:fillRect/>
                    </a:stretch>
                  </pic:blipFill>
                  <pic:spPr bwMode="auto">
                    <a:xfrm>
                      <a:off x="0" y="0"/>
                      <a:ext cx="5334000" cy="3784587"/>
                    </a:xfrm>
                    <a:prstGeom prst="rect">
                      <a:avLst/>
                    </a:prstGeom>
                    <a:noFill/>
                    <a:ln w="9525">
                      <a:noFill/>
                      <a:headEnd/>
                      <a:tailEnd/>
                    </a:ln>
                  </pic:spPr>
                </pic:pic>
              </a:graphicData>
            </a:graphic>
          </wp:inline>
        </w:drawing>
      </w:r>
    </w:p>
    <w:p>
      <w:pPr>
        <w:pStyle w:val="ImageCaption"/>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CaptionedFigure"/>
      </w:pPr>
      <w:r>
        <w:drawing>
          <wp:inline>
            <wp:extent cx="5334000" cy="3782759"/>
            <wp:effectExtent b="0" l="0" r="0" t="0"/>
            <wp:docPr descr="Figure 2c: Wave 2023 — predicted ln(labour productivity) vs FSTS" title="" id="48" name="Picture"/>
            <a:graphic>
              <a:graphicData uri="http://schemas.openxmlformats.org/drawingml/2006/picture">
                <pic:pic>
                  <pic:nvPicPr>
                    <pic:cNvPr descr="figures/p3_vietnam/figure_2c.png" id="49" name="Picture"/>
                    <pic:cNvPicPr>
                      <a:picLocks noChangeArrowheads="1" noChangeAspect="1"/>
                    </pic:cNvPicPr>
                  </pic:nvPicPr>
                  <pic:blipFill>
                    <a:blip r:embed="rId47"/>
                    <a:stretch>
                      <a:fillRect/>
                    </a:stretch>
                  </pic:blipFill>
                  <pic:spPr bwMode="auto">
                    <a:xfrm>
                      <a:off x="0" y="0"/>
                      <a:ext cx="5334000" cy="3782759"/>
                    </a:xfrm>
                    <a:prstGeom prst="rect">
                      <a:avLst/>
                    </a:prstGeom>
                    <a:noFill/>
                    <a:ln w="9525">
                      <a:noFill/>
                      <a:headEnd/>
                      <a:tailEnd/>
                    </a:ln>
                  </pic:spPr>
                </pic:pic>
              </a:graphicData>
            </a:graphic>
          </wp:inline>
        </w:drawing>
      </w:r>
    </w:p>
    <w:p>
      <w:pPr>
        <w:pStyle w:val="ImageCaption"/>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CaptionedFigure"/>
      </w:pPr>
      <w:r>
        <w:drawing>
          <wp:inline>
            <wp:extent cx="5334000" cy="3782759"/>
            <wp:effectExtent b="0" l="0" r="0" t="0"/>
            <wp:docPr descr="Figure 2d: Pooled (2009+2015+2023) — predicted ln(labour productivity) vs FSTS" title="" id="51" name="Picture"/>
            <a:graphic>
              <a:graphicData uri="http://schemas.openxmlformats.org/drawingml/2006/picture">
                <pic:pic>
                  <pic:nvPicPr>
                    <pic:cNvPr descr="figures/p3_vietnam/figure_2d.png" id="52" name="Picture"/>
                    <pic:cNvPicPr>
                      <a:picLocks noChangeArrowheads="1" noChangeAspect="1"/>
                    </pic:cNvPicPr>
                  </pic:nvPicPr>
                  <pic:blipFill>
                    <a:blip r:embed="rId50"/>
                    <a:stretch>
                      <a:fillRect/>
                    </a:stretch>
                  </pic:blipFill>
                  <pic:spPr bwMode="auto">
                    <a:xfrm>
                      <a:off x="0" y="0"/>
                      <a:ext cx="5334000" cy="3782759"/>
                    </a:xfrm>
                    <a:prstGeom prst="rect">
                      <a:avLst/>
                    </a:prstGeom>
                    <a:noFill/>
                    <a:ln w="9525">
                      <a:noFill/>
                      <a:headEnd/>
                      <a:tailEnd/>
                    </a:ln>
                  </pic:spPr>
                </pic:pic>
              </a:graphicData>
            </a:graphic>
          </wp:inline>
        </w:drawing>
      </w:r>
    </w:p>
    <w:p>
      <w:pPr>
        <w:pStyle w:val="ImageCaption"/>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3"/>
    <w:bookmarkStart w:id="57" w:name="interpretation-of-the-hypothesis-tests"/>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Cross-paper comparison reinforces the institutional-context interpretation. The Vietnam pooled threshold of 39.7 % (range 39.3–46.2 % across waves) is notably lower than the manufacturing-subsample threshold of 47.8 % reported for Chinese private firms by Do and Phan (2026 — JFAR). This gap is consistent with institutional transaction costs binding earlier in Vietnam’s lower-income emerging-economy context: Vietnamese exporters approach over-commitment costs at a lower absolute export-intensity level than their Chinese counterparts, where more mature contract-enforcement institutions, larger domestic markets, and more established export-support infrastructure allow firms to sustain higher export intensity before productivity returns diminish. The cross-country threshold difference thus provides within-WBES cross-setting evidence for the institutional-context channel identified in meta-analyses of the I–P relationship (Wu, Fan, &amp; Chen, 2022 — MIR; Marano et al., 2016).</w:t>
      </w:r>
    </w:p>
    <w:p>
      <w:pPr>
        <w:pStyle w:val="BodyText"/>
      </w:pPr>
      <w:r>
        <w:t xml:space="preserve">H2 is supported by the positive TCI_z</w:t>
      </w:r>
      <w:r>
        <w:t xml:space="preserve"> </w:t>
      </w:r>
      <w:r>
        <w:t xml:space="preserve">direct association in the pooled sample (β = 0.179, p &lt; .001) and in all three wavespecific periods (2009 p &lt; .001; 2015 p = .010; 2023 p = .006), reinforced by statistically distinguishable TCI moderation in three of four panels (M3 joint p = .040,</w:t>
      </w:r>
      <w:r>
        <w:t xml:space="preserve"> </w:t>
      </w:r>
      <w:r>
        <w:t xml:space="preserve">.713, .027 and .003). H3 is supported on average but not uniformly across waves:</w:t>
      </w:r>
      <w:r>
        <w:t xml:space="preserve"> </w:t>
      </w:r>
      <w:r>
        <w:t xml:space="preserve">the pooled M7 estimate of DAI_z is positive and significant (β = 0.078, p = .004),</w:t>
      </w:r>
      <w:r>
        <w:t xml:space="preserve"> </w:t>
      </w:r>
      <w:r>
        <w:t xml:space="preserve">but DAI_z varies sharply across waves — strong in 2009 (β = 0.175, p &lt; .001), null</w:t>
      </w:r>
    </w:p>
    <w:p>
      <w:pPr>
        <w:pStyle w:val="BodyText"/>
      </w:pPr>
      <w:r>
        <w:t xml:space="preserve">in 2015 (β = -0.044, p = .377) and re-emerging in 2023 (β = 0.095, p = .038). The</w:t>
      </w:r>
      <w:r>
        <w:t xml:space="preserve"> </w:t>
      </w:r>
      <w:r>
        <w:t xml:space="preserve">Paternoster cross-wave z-tests (4.5, Panel F) confirm that the 2009-to-2015 fall (z</w:t>
      </w:r>
      <w:r>
        <w:t xml:space="preserve"> </w:t>
      </w:r>
      <w:r>
        <w:t xml:space="preserve">= 3.353, p &lt; .001) and the 2015-to-2023 recovery (z = -2.051, p = .040) are both</w:t>
      </w:r>
      <w:r>
        <w:t xml:space="preserve"> </w:t>
      </w:r>
      <w:r>
        <w:t xml:space="preserve">statistically distinguishable shifts.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at marginal significance,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CaptionedFigure"/>
      </w:pPr>
      <w:r>
        <w:drawing>
          <wp:inline>
            <wp:extent cx="5334000" cy="2422321"/>
            <wp:effectExtent b="0" l="0" r="0" t="0"/>
            <wp:docPr descr="Figure 3: Moderator marginal effects — TCI and DAI interactions with FSTS (Vietnam)" title="" id="55" name="Picture"/>
            <a:graphic>
              <a:graphicData uri="http://schemas.openxmlformats.org/drawingml/2006/picture">
                <pic:pic>
                  <pic:nvPicPr>
                    <pic:cNvPr descr="figures/p3_vietnam/figure_3_moderator_marginals.png" id="56" name="Picture"/>
                    <pic:cNvPicPr>
                      <a:picLocks noChangeArrowheads="1" noChangeAspect="1"/>
                    </pic:cNvPicPr>
                  </pic:nvPicPr>
                  <pic:blipFill>
                    <a:blip r:embed="rId54"/>
                    <a:stretch>
                      <a:fillRect/>
                    </a:stretch>
                  </pic:blipFill>
                  <pic:spPr bwMode="auto">
                    <a:xfrm>
                      <a:off x="0" y="0"/>
                      <a:ext cx="5334000" cy="2422321"/>
                    </a:xfrm>
                    <a:prstGeom prst="rect">
                      <a:avLst/>
                    </a:prstGeom>
                    <a:noFill/>
                    <a:ln w="9525">
                      <a:noFill/>
                      <a:headEnd/>
                      <a:tailEnd/>
                    </a:ln>
                  </pic:spPr>
                </pic:pic>
              </a:graphicData>
            </a:graphic>
          </wp:inline>
        </w:drawing>
      </w:r>
    </w:p>
    <w:p>
      <w:pPr>
        <w:pStyle w:val="ImageCaption"/>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7"/>
    <w:bookmarkStart w:id="58" w:name="X23d394b5fab5dc8f1b4dd565bcba255732d0503"/>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w:t>
      </w:r>
      <w:r>
        <w:t xml:space="preserve"> </w:t>
      </w:r>
      <w:r>
        <w:t xml:space="preserve">term is negative (β = -0.861, p &lt; .001) but the quadratic term is not significant (FSTS_c</w:t>
      </w:r>
    </w:p>
    <w:p>
      <w:pPr>
        <w:pStyle w:val="BodyText"/>
      </w:pPr>
      <w:r>
        <w:t xml:space="preserve">2β</w:t>
      </w:r>
    </w:p>
    <w:p>
      <w:pPr>
        <w:pStyle w:val="BodyText"/>
      </w:pP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1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1 summarises the directional interpretation of the focal coefficients from the full specifications by wave and for the pooled sample.</w:t>
      </w:r>
    </w:p>
    <w:bookmarkEnd w:id="58"/>
    <w:bookmarkStart w:id="60" w:name="robustness"/>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w:t>
      </w:r>
    </w:p>
    <w:p>
      <w:pPr>
        <w:pStyle w:val="BodyText"/>
      </w:pPr>
      <w:r>
        <w:t xml:space="preserve">To test whether the</w:t>
      </w:r>
    </w:p>
    <w:p>
      <w:pPr>
        <w:pStyle w:val="BodyText"/>
      </w:pPr>
      <w:r>
        <w:t xml:space="preserve">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w:t>
      </w:r>
    </w:p>
    <w:p>
      <w:pPr>
        <w:pStyle w:val="BodyText"/>
      </w:pPr>
      <w:r>
        <w:t xml:space="preserve">manufacturing (FSTS_c β = 0.971, p = .001; FSTS_c</w:t>
      </w:r>
    </w:p>
    <w:p>
      <w:pPr>
        <w:pStyle w:val="BodyText"/>
      </w:pPr>
      <w:r>
        <w:t xml:space="preserve">2 β = -1.883, p &lt; .001) than in non-</w:t>
      </w:r>
    </w:p>
    <w:p>
      <w:pPr>
        <w:pStyle w:val="BodyText"/>
      </w:pPr>
      <w:r>
        <w:t xml:space="preserve">manufacturing (FSTS_c β = 1.615, p = .064, marginal; FSTS_c</w:t>
      </w:r>
    </w:p>
    <w:p>
      <w:pPr>
        <w:pStyle w:val="BodyText"/>
      </w:pPr>
      <w:r>
        <w:t xml:space="preserve">2 β = -2.479, p = .046).</w:t>
      </w:r>
    </w:p>
    <w:p>
      <w:pPr>
        <w:pStyle w:val="BodyText"/>
      </w:pPr>
      <w:r>
        <w:t xml:space="preserve">More substantively, the capability and digital-adoption channels operate primarily in manufacturing.</w:t>
      </w:r>
    </w:p>
    <w:p>
      <w:pPr>
        <w:pStyle w:val="BodyText"/>
      </w:pPr>
      <w:r>
        <w:t xml:space="preserve">In the M7 dual-direct specification, manufacturing firms display a strong TCI_z</w:t>
      </w:r>
    </w:p>
    <w:p>
      <w:pPr>
        <w:pStyle w:val="BodyText"/>
      </w:pPr>
      <w:r>
        <w:t xml:space="preserve">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w:t>
      </w:r>
    </w:p>
    <w:p>
      <w:pPr>
        <w:pStyle w:val="BodyText"/>
      </w:pPr>
      <w:r>
        <w:t xml:space="preserve">2 β = -0.200, p = .660), and the joint M8 test of the</w:t>
      </w:r>
    </w:p>
    <w:p>
      <w:pPr>
        <w:pStyle w:val="BodyText"/>
      </w:pPr>
      <w:r>
        <w:t xml:space="preserve">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w:t>
      </w:r>
    </w:p>
    <w:p>
      <w:pPr>
        <w:pStyle w:val="BodyText"/>
      </w:pPr>
      <w:r>
        <w:t xml:space="preserve">× wave, FSTS_c2 × wave, DAI_z × wave, TCI_z × wave). The joint Wald tests show that</w:t>
      </w:r>
      <w:r>
        <w:t xml:space="preserve"> </w:t>
      </w:r>
      <w:r>
        <w:t xml:space="preserve">only DAI_z × wave is statistically distinguishable from the pooled average (joint p = .016); the</w:t>
      </w:r>
    </w:p>
    <w:p>
      <w:pPr>
        <w:pStyle w:val="BodyText"/>
      </w:pPr>
      <w:r>
        <w:t xml:space="preserve">2 and TCI_z direct-effect cross-wave differences are not statistically separable</w:t>
      </w:r>
      <w:r>
        <w:t xml:space="preserve"> </w:t>
      </w:r>
      <w:r>
        <w:t xml:space="preserve">(all joint p &gt; .25), and the FSTS_c × DAI_z and FSTS_c × DAI_z cross-wave differences</w:t>
      </w:r>
      <w:r>
        <w:t xml:space="preserve"> </w:t>
      </w:r>
      <w:r>
        <w:t xml:space="preserve">FSTS_c, FSTS_c</w:t>
      </w:r>
    </w:p>
    <w:p>
      <w:pPr>
        <w:pStyle w:val="BodyText"/>
      </w:pPr>
      <w:r>
        <w:t xml:space="preserve">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Density-around-turning-point check. We also report the within-sample mass of firms in the</w:t>
      </w:r>
      <w:r>
        <w:t xml:space="preserve"> </w:t>
      </w:r>
      <w:r>
        <w:t xml:space="preserve">curvature zone.</w:t>
      </w:r>
    </w:p>
    <w:p>
      <w:pPr>
        <w:pStyle w:val="BodyText"/>
      </w:pPr>
      <w:r>
        <w:t xml:space="preserve">Defining a ±5 percentage-point band around the wave-specific turning point</w:t>
      </w:r>
    </w:p>
    <w:p>
      <w:pPr>
        <w:pStyle w:val="BodyText"/>
      </w:pPr>
      <w:r>
        <w:t xml:space="preserve">(TP),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59"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Heckman two-step corrections (Panel E) yield insignificant inverse-Mills ratios across all waves (all |λ| &lt; 0.84, p &gt; .25), indicating no detectable selection bias on the exporter subsample. Propensity-score matching (Panel J) corroborates the average H2 and H3 associations without imposing linearity: ATT estimates for website ownership (0.298–0.321, p &lt; .001) and for foreign-technology / certification status (0.609–0.637, p &lt; .001) are substantively consistent with the OLS results.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lifecycle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Low DAI_z (p25)</w:t>
      </w:r>
      <w:r>
        <w:t xml:space="preserve"> </w:t>
      </w:r>
      <w:r>
        <w:t xml:space="preserve">High DAI_z (p75)</w:t>
      </w:r>
    </w:p>
    <w:p>
      <w:pPr>
        <w:pStyle w:val="BodyText"/>
      </w:pPr>
      <w:r>
        <w:t xml:space="preserve">20.5</w:t>
      </w:r>
    </w:p>
    <w:p>
      <w:pPr>
        <w:pStyle w:val="BodyText"/>
      </w:pPr>
      <w:r>
        <w:t xml:space="preserve">19.5</w:t>
      </w:r>
    </w:p>
    <w:p>
      <w:pPr>
        <w:pStyle w:val="BodyText"/>
      </w:pPr>
      <w:r>
        <w:t xml:space="preserve">0.2</w:t>
      </w:r>
    </w:p>
    <w:p>
      <w:pPr>
        <w:pStyle w:val="BodyText"/>
      </w:pPr>
      <w:r>
        <w:t xml:space="preserve">0.4</w:t>
      </w:r>
    </w:p>
    <w:p>
      <w:pPr>
        <w:pStyle w:val="BodyText"/>
      </w:pPr>
      <w:r>
        <w:t xml:space="preserve">0.6</w:t>
      </w:r>
    </w:p>
    <w:p>
      <w:pPr>
        <w:pStyle w:val="BodyText"/>
      </w:pPr>
      <w:r>
        <w:t xml:space="preserve">0.8</w:t>
      </w:r>
    </w:p>
    <w:p>
      <w:pPr>
        <w:pStyle w:val="BodyText"/>
      </w:pPr>
      <w:r>
        <w:t xml:space="preserve">Direct-export intensity (FSTS, raw scale)</w:t>
      </w:r>
    </w:p>
    <w:p>
      <w:pPr>
        <w:pStyle w:val="BodyText"/>
      </w:pPr>
      <w:r>
        <w:t xml:space="preserve">Figure 6: Predicted ln(labour productivity) along the FSTS export-intensity range, 2023 wave (N</w:t>
      </w:r>
    </w:p>
    <w:p>
      <w:pPr>
        <w:pStyle w:val="BodyText"/>
      </w:pPr>
      <w:r>
        <w:t xml:space="preserve">= 1,013), evaluated at the 25th vs 75th percentile of DAI_z. The fitted curves come from the M8</w:t>
      </w:r>
      <w:r>
        <w:t xml:space="preserve"> </w:t>
      </w:r>
      <w:r>
        <w:t xml:space="preserve">specification with HC1 robust standard errors and the focal interaction term FSTS_c × DAI_z =</w:t>
      </w:r>
      <w:r>
        <w:t xml:space="preserve"> </w:t>
      </w:r>
      <w:r>
        <w:t xml:space="preserve">−0.912 (p = .043). At high DAI_z, the productivity-relevant slope of FSTS turns negative more sharply</w:t>
      </w:r>
      <w:r>
        <w:t xml:space="preserve"> </w:t>
      </w:r>
      <w:r>
        <w:t xml:space="preserve">on the right tail of the export-intensity distribution; at low DAI_z, the FSTS curve is flatter. Joint M8</w:t>
      </w:r>
      <w:r>
        <w:t xml:space="preserve"> </w:t>
      </w:r>
      <w:r>
        <w:t xml:space="preserve">test p = .062 (marginal). Source: World Bank Enterprise Surveys (Vietnam 2023), www.enterprisesurveys.org; authors’ calculations.</w:t>
      </w:r>
      <w:r>
        <w:t xml:space="preserve"> </w:t>
      </w:r>
      <w:r>
        <w:t xml:space="preserve">Table 3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3: Robustness panels A–K and supplementary checks.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FSTS_c2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 www.enterprisesurveys.org; authors’ calculations.</w:t>
      </w:r>
      <w:r>
        <w:t xml:space="preserve"> </w:t>
      </w:r>
      <w:r>
        <w:t xml:space="preserve">Notes.</w:t>
      </w:r>
    </w:p>
    <w:p>
      <w:pPr>
        <w:pStyle w:val="BodyText"/>
      </w:pPr>
      <w:r>
        <w:t xml:space="preserve">Table 4: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w:t>
      </w:r>
    </w:p>
    <w:p>
      <w:pPr>
        <w:pStyle w:val="BodyText"/>
      </w:pPr>
      <w:r>
        <w:t xml:space="preserve">N</w:t>
      </w:r>
    </w:p>
    <w:p>
      <w:pPr>
        <w:pStyle w:val="BodyText"/>
      </w:pPr>
      <w:r>
        <w:t xml:space="preserve">Turning point (raw FSTS)</w:t>
      </w:r>
    </w:p>
    <w:p>
      <w:pPr>
        <w:pStyle w:val="BodyText"/>
      </w:pPr>
      <w:r>
        <w:t xml:space="preserve">95 % delta-method CI</w:t>
      </w:r>
    </w:p>
    <w:p>
      <w:pPr>
        <w:pStyle w:val="BodyText"/>
      </w:pPr>
      <w:r>
        <w:t xml:space="preserve">Lind–Mehlum p</w:t>
      </w:r>
    </w:p>
    <w:p>
      <w:pPr>
        <w:pStyle w:val="BodyText"/>
      </w:pPr>
      <w:r>
        <w:t xml:space="preserve">Vietnam 2009</w:t>
      </w:r>
      <w:r>
        <w:t xml:space="preserve"> </w:t>
      </w:r>
      <w:r>
        <w:t xml:space="preserve">Vietnam 2015</w:t>
      </w:r>
      <w:r>
        <w:t xml:space="preserve"> </w:t>
      </w:r>
      <w:r>
        <w:t xml:space="preserve">Vietnam 2023</w:t>
      </w:r>
      <w:r>
        <w:t xml:space="preserve"> </w:t>
      </w:r>
      <w:r>
        <w:t xml:space="preserve">Vietnam pooled</w:t>
      </w:r>
    </w:p>
    <w:p>
      <w:pPr>
        <w:pStyle w:val="BodyText"/>
      </w:pPr>
      <w:r>
        <w:t xml:space="preserve">989</w:t>
      </w:r>
      <w:r>
        <w:t xml:space="preserve"> </w:t>
      </w:r>
      <w:r>
        <w:t xml:space="preserve">956</w:t>
      </w:r>
      <w:r>
        <w:t xml:space="preserve"> </w:t>
      </w:r>
      <w:r>
        <w:t xml:space="preserve">1,013</w:t>
      </w:r>
      <w:r>
        <w:t xml:space="preserve"> </w:t>
      </w:r>
      <w:r>
        <w:t xml:space="preserve">2,958</w:t>
      </w:r>
    </w:p>
    <w:p>
      <w:pPr>
        <w:pStyle w:val="BodyText"/>
      </w:pPr>
      <w:r>
        <w:t xml:space="preserve">46.2 %</w:t>
      </w:r>
      <w:r>
        <w:t xml:space="preserve"> </w:t>
      </w:r>
      <w:r>
        <w:t xml:space="preserve">39.3 %</w:t>
      </w:r>
      <w:r>
        <w:t xml:space="preserve"> </w:t>
      </w:r>
      <w:r>
        <w:t xml:space="preserve">41.6 %</w:t>
      </w:r>
      <w:r>
        <w:t xml:space="preserve"> </w:t>
      </w:r>
      <w:r>
        <w:t xml:space="preserve">39.7 %</w:t>
      </w:r>
    </w:p>
    <w:p>
      <w:pPr>
        <w:pStyle w:val="BodyText"/>
      </w:pPr>
      <w:r>
        <w:t xml:space="preserve">[37.4 %, 55.1 %]</w:t>
      </w:r>
      <w:r>
        <w:t xml:space="preserve"> </w:t>
      </w:r>
      <w:r>
        <w:t xml:space="preserve">[30.3 %, 48.4 %]</w:t>
      </w:r>
      <w:r>
        <w:t xml:space="preserve"> </w:t>
      </w:r>
      <w:r>
        <w:t xml:space="preserve">[31.7 %, 51.5 %]</w:t>
      </w:r>
      <w:r>
        <w:t xml:space="preserve"> </w:t>
      </w:r>
      <w:r>
        <w:t xml:space="preserve">[34.0 %, 45.5 %]</w:t>
      </w:r>
    </w:p>
    <w:p>
      <w:pPr>
        <w:pStyle w:val="BodyText"/>
      </w:pPr>
      <w:r>
        <w:t xml:space="preserve">.006</w:t>
      </w:r>
      <w:r>
        <w:t xml:space="preserve"> </w:t>
      </w:r>
      <w:r>
        <w:t xml:space="preserve">.009</w:t>
      </w:r>
      <w:r>
        <w:t xml:space="preserve"> </w:t>
      </w:r>
      <w:r>
        <w:t xml:space="preserve">.013</w:t>
      </w:r>
      <w:r>
        <w:t xml:space="preserve"> </w:t>
      </w:r>
      <w:r>
        <w:t xml:space="preserve">&lt; .001</w:t>
      </w:r>
    </w:p>
    <w:p>
      <w:pPr>
        <w:pStyle w:val="BodyText"/>
      </w:pPr>
      <w:r>
        <w:t xml:space="preserve">Turning points are derived from the M2 inverted-U specification (lnLP = β0 + β1 FSTS_c + β2</w:t>
      </w:r>
      <w:r>
        <w:t xml:space="preserve"> </w:t>
      </w:r>
      <w:r>
        <w:t xml:space="preserve">FSTS_c2 + controls + sector FE [+ wave FE in pooled]) and back-transformed to the raw FSTS scale. 95 %</w:t>
      </w:r>
      <w:r>
        <w:t xml:space="preserve"> </w:t>
      </w:r>
      <w:r>
        <w:t xml:space="preserve">confidence intervals use the delta method on the within-sample FSTS_c range. Lind–Mehlum p-values follow</w:t>
      </w:r>
      <w:r>
        <w:t xml:space="preserve"> </w:t>
      </w:r>
      <w:r>
        <w:t xml:space="preserve">the Sasabuchi-style endpoint test for an inverted-U over the observed FSTS range (Lind and Mehlum, 2010).</w:t>
      </w:r>
      <w:r>
        <w:t xml:space="preserve"> </w:t>
      </w:r>
      <w:r>
        <w:t xml:space="preserve">Source: World Bank Enterprise Surveys (Vietnam 2009, 2015, 2023), www.enterprisesurveys.org; authors’ calculations.</w:t>
      </w:r>
      <w:r>
        <w:t xml:space="preserve"> </w:t>
      </w:r>
      <w:r>
        <w:t xml:space="preserve">Notes.</w:t>
      </w:r>
    </w:p>
    <w:bookmarkEnd w:id="59"/>
    <w:bookmarkEnd w:id="60"/>
    <w:bookmarkEnd w:id="61"/>
    <w:bookmarkStart w:id="67" w:name="discussion"/>
    <w:p>
      <w:pPr>
        <w:pStyle w:val="Heading2"/>
      </w:pPr>
      <w:r>
        <w:t xml:space="preserve">5. Discussion</w:t>
      </w:r>
    </w:p>
    <w:bookmarkStart w:id="62" w:name="Xe2732ea692c7a7c44c78ff7ef3dd88538ae3e55"/>
    <w:p>
      <w:pPr>
        <w:pStyle w:val="Heading3"/>
      </w:pPr>
      <w:r>
        <w:t xml:space="preserve">5.1 Reinterpreting digital capability in Vietnam</w:t>
      </w:r>
    </w:p>
    <w:p>
      <w:pPr>
        <w:pStyle w:val="FirstParagraph"/>
      </w:pPr>
      <w:r>
        <w:t xml:space="preserve">The central implication of the findings is that foundational digital adoption in Vietnam should</w:t>
      </w:r>
      <w:r>
        <w:t xml:space="preserve"> </w:t>
      </w:r>
      <w:r>
        <w:t xml:space="preserve">not be interpreted as a universal and temporally stable productivity premium.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This means that website-based digital adoption is not simply a constant background</w:t>
      </w:r>
      <w:r>
        <w:t xml:space="preserve"> </w:t>
      </w:r>
      <w:r>
        <w:t xml:space="preserve">advantage; it is a context-sensitive and stage-dependent source of performance heterogeneity.</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lifecycle of internationalisation and transition.</w:t>
      </w:r>
    </w:p>
    <w:bookmarkEnd w:id="62"/>
    <w:bookmarkStart w:id="63" w:name="X318cb0239560712574cc1011b7a7ed3cd23c87d"/>
    <w:p>
      <w:pPr>
        <w:pStyle w:val="Heading3"/>
      </w:pPr>
      <w:r>
        <w:t xml:space="preserve">5.2 Why the distinction between TCI and DAI matters</w:t>
      </w:r>
    </w:p>
    <w:p>
      <w:pPr>
        <w:pStyle w:val="FirstParagraph"/>
      </w:pPr>
      <w:r>
        <w:t xml:space="preserve">The results strengthen the theoretical case for separating foreign-technology / standards capability from foundational digital adoption.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3"/>
    <w:bookmarkStart w:id="64" w:name="the-significance-of-the-2015-dip"/>
    <w:p>
      <w:pPr>
        <w:pStyle w:val="Heading3"/>
      </w:pPr>
      <w:r>
        <w:t xml:space="preserve">5.3 The significance of the 2015 dip</w:t>
      </w:r>
    </w:p>
    <w:p>
      <w:pPr>
        <w:pStyle w:val="FirstParagraph"/>
      </w:pPr>
      <w:r>
        <w:t xml:space="preserve">Before invoking the macro-infrastructure narrative, it is worth grounding the 2015 null in the micro-structure of the sample itself. As reported in Table 1,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demonstrates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4"/>
    <w:bookmarkStart w:id="65" w:name="managerial-implications"/>
    <w:p>
      <w:pPr>
        <w:pStyle w:val="Heading3"/>
      </w:pPr>
      <w:r>
        <w:t xml:space="preserve">5.4 Managerial implications</w:t>
      </w:r>
    </w:p>
    <w:p>
      <w:pPr>
        <w:pStyle w:val="FirstParagraph"/>
      </w:pPr>
      <w:r>
        <w:t xml:space="preserve">The managerial implication is not that firms should invest less in digitalisation.</w:t>
      </w:r>
    </w:p>
    <w:p>
      <w:pPr>
        <w:pStyle w:val="BodyText"/>
      </w:pPr>
      <w:r>
        <w:t xml:space="preserve">Rather, it</w:t>
      </w:r>
    </w:p>
    <w:p>
      <w:pPr>
        <w:pStyle w:val="BodyText"/>
      </w:pPr>
      <w:r>
        <w:t xml:space="preserve">is that digitalisation should be aligned with organisational readiness and international scale.</w:t>
      </w:r>
      <w:r>
        <w:t xml:space="preserve"> </w:t>
      </w:r>
      <w:r>
        <w:t xml:space="preserve">Foundational digital tools may create value, but the payoff depends on whether those tools are</w:t>
      </w:r>
      <w:r>
        <w:t xml:space="preserve"> </w:t>
      </w:r>
      <w:r>
        <w:t xml:space="preserve">embedded in routines that support export coordination and performance.</w:t>
      </w:r>
      <w:r>
        <w:t xml:space="preserve"> </w:t>
      </w:r>
      <w:r>
        <w:t xml:space="preserve">Managers should also avoid conflating basic digital adoption with deeper technological capability.</w:t>
      </w:r>
    </w:p>
    <w:p>
      <w:pPr>
        <w:pStyle w:val="BodyText"/>
      </w:pPr>
      <w:r>
        <w:t xml:space="preserve">A firm may adopt digital tools without having the learning and upgrading capacity</w:t>
      </w:r>
    </w:p>
    <w:p>
      <w:pPr>
        <w:pStyle w:val="BodyText"/>
      </w:pPr>
      <w:r>
        <w:t xml:space="preserve">needed to sustain performance gains over time.</w:t>
      </w:r>
    </w:p>
    <w:p>
      <w:pPr>
        <w:pStyle w:val="BodyText"/>
      </w:pPr>
      <w:r>
        <w:t xml:space="preserve">Conversely, stronger internal capability may</w:t>
      </w:r>
    </w:p>
    <w:p>
      <w:pPr>
        <w:pStyle w:val="BodyText"/>
      </w:pPr>
      <w:r>
        <w:t xml:space="preserve">allow the firm to convert relatively basic digital adoption into more meaningful outcomes. This</w:t>
      </w:r>
      <w:r>
        <w:t xml:space="preserve"> </w:t>
      </w:r>
      <w:r>
        <w:t xml:space="preserve">distinction is especially important in transitional economies, where firms move through uneven</w:t>
      </w:r>
      <w:r>
        <w:t xml:space="preserve"> </w:t>
      </w:r>
      <w:r>
        <w:t xml:space="preserve">stages of capability development.</w:t>
      </w:r>
    </w:p>
    <w:bookmarkEnd w:id="65"/>
    <w:bookmarkStart w:id="66" w:name="policy-implications"/>
    <w:p>
      <w:pPr>
        <w:pStyle w:val="Heading3"/>
      </w:pPr>
      <w:r>
        <w:t xml:space="preserve">5.6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lifecycle reading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lifecycle structure seriously will couple short-window outcome measurement with sustained measurement of the capability and infrastructure environment in which firms operate.</w:t>
      </w:r>
    </w:p>
    <w:bookmarkEnd w:id="66"/>
    <w:bookmarkEnd w:id="67"/>
    <w:bookmarkStart w:id="68" w:name="limitations-and-future-research"/>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Within-firm change over</w:t>
      </w:r>
      <w:r>
        <w:t xml:space="preserve"> </w:t>
      </w:r>
      <w:r>
        <w:t xml:space="preserve">time cannot be identified, and time-invariant unobserved heterogeneity cannot be netted out at</w:t>
      </w:r>
      <w:r>
        <w:t xml:space="preserve"> </w:t>
      </w:r>
      <w:r>
        <w:t xml:space="preserve">the firm level. The associational language used throughout the paper reflects this constraint and</w:t>
      </w:r>
      <w:r>
        <w:t xml:space="preserve"> </w:t>
      </w:r>
      <w:r>
        <w:t xml:space="preserve">should not be relaxed in any reader’s interpretation of the results.</w:t>
      </w:r>
      <w:r>
        <w:t xml:space="preserve"> </w:t>
      </w:r>
      <w:r>
        <w:t xml:space="preserve">Second, DAI_z captures only a foundational, Tier-1-style layer of digital adoption centred</w:t>
      </w:r>
      <w:r>
        <w:t xml:space="preserve"> </w:t>
      </w:r>
      <w:r>
        <w:t xml:space="preserve">on website presence, rather than digitally integrated organisational capability. The DAI_rich</w:t>
      </w:r>
      <w:r>
        <w:t xml:space="preserve"> </w:t>
      </w:r>
      <w:r>
        <w:t xml:space="preserve">extension for the 2023 wave shows that the conditional pattern survives when richer items are</w:t>
      </w:r>
      <w:r>
        <w:t xml:space="preserve"> </w:t>
      </w:r>
      <w:r>
        <w:t xml:space="preserve">available, but a panel of digitally integrated firms with deeper measurement would tighten the</w:t>
      </w:r>
      <w:r>
        <w:t xml:space="preserve"> </w:t>
      </w:r>
      <w:r>
        <w:t xml:space="preserve">construct further and allow a sharper test of whether deeper digital integration exhibits a more</w:t>
      </w:r>
      <w:r>
        <w:t xml:space="preserve"> </w:t>
      </w:r>
      <w:r>
        <w:t xml:space="preserve">stable productivity channel.</w:t>
      </w:r>
      <w:r>
        <w:t xml:space="preserve"> </w:t>
      </w: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lifecycle pattern documented here may not generalise without</w:t>
      </w:r>
      <w:r>
        <w:t xml:space="preserve"> </w:t>
      </w:r>
      <w:r>
        <w:t xml:space="preserve">modification to economies whose digital infrastructure or export composition follows a different</w:t>
      </w:r>
      <w:r>
        <w:t xml:space="preserve"> </w:t>
      </w:r>
      <w:r>
        <w:t xml:space="preserve">trajectory.</w:t>
      </w:r>
      <w:r>
        <w:t xml:space="preserve"> </w:t>
      </w:r>
      <w:r>
        <w:t xml:space="preserve">Fourth, the cross-wave evidence is uneven in statistical strength.</w:t>
      </w:r>
    </w:p>
    <w:p>
      <w:pPr>
        <w:pStyle w:val="BodyText"/>
      </w:pPr>
      <w:r>
        <w:t xml:space="preserve">The Paternoster et al.</w:t>
      </w:r>
    </w:p>
    <w:p>
      <w:pPr>
        <w:numPr>
          <w:ilvl w:val="0"/>
          <w:numId w:val="1002"/>
        </w:numPr>
        <w:pStyle w:val="Compact"/>
      </w:pPr>
      <w:r>
        <w:t xml:space="preserve">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lifecycle interpretation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Future work could exploit policy</w:t>
      </w:r>
      <w:r>
        <w:t xml:space="preserve"> </w:t>
      </w:r>
      <w:r>
        <w:t xml:space="preserve">timing — for example, Vietnam’s National Digital Transformation Programme launched in 2020</w:t>
      </w:r>
      <w:r>
        <w:t xml:space="preserve"> </w:t>
      </w:r>
      <w:r>
        <w:t xml:space="preserve">— for sharper identification of the digital channel through a policy-evaluation design rather than</w:t>
      </w:r>
      <w:r>
        <w:t xml:space="preserve"> </w:t>
      </w:r>
      <w:r>
        <w:t xml:space="preserve">a cross-wave comparison.</w:t>
      </w:r>
      <w:r>
        <w:t xml:space="preserve"> </w:t>
      </w:r>
      <w:r>
        <w:t xml:space="preserve">Fifth, the sector fixed effects in the main models are intentionally broad to keep the crosswave specification comparable.</w:t>
      </w:r>
    </w:p>
    <w:p>
      <w:pPr>
        <w:pStyle w:val="FirstParagraph"/>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68"/>
    <w:bookmarkStart w:id="69" w:name="conclusion"/>
    <w:p>
      <w:pPr>
        <w:pStyle w:val="Heading2"/>
      </w:pPr>
      <w:r>
        <w:t xml:space="preserve">7. Conclusion</w:t>
      </w:r>
    </w:p>
    <w:p>
      <w:pPr>
        <w:pStyle w:val="FirstParagraph"/>
      </w:pPr>
      <w:r>
        <w:t xml:space="preserve">This study revisits the internationalisation–performance relationship in Vietnam by distinguishing foreign-technology / standards capability from foundational digital adoption and by comparing pooled with wave-specific evidence.</w:t>
      </w:r>
    </w:p>
    <w:p>
      <w:pPr>
        <w:pStyle w:val="BodyText"/>
      </w:pPr>
      <w:r>
        <w:t xml:space="preserve">The findings show that the internationalisation–</w:t>
      </w:r>
    </w:p>
    <w:p>
      <w:pPr>
        <w:pStyle w:val="BodyText"/>
      </w:pPr>
      <w:r>
        <w:t xml:space="preserve">performance relationship is non-monotonic in the full sample, but that this pattern is driven</w:t>
      </w:r>
      <w:r>
        <w:t xml:space="preserve"> </w:t>
      </w:r>
      <w:r>
        <w:t xml:space="preserve">primarily by a participation-and-intensity structure rather than by strong within-exporter curvature alone.</w:t>
      </w:r>
      <w:r>
        <w:t xml:space="preserve"> </w:t>
      </w:r>
      <w:r>
        <w:t xml:space="preserve">The results also show that the two capability domains should not be treated as interchangeable. Technological capability is comparatively stable and identification-robust across specifications, whereas foundational digital adoption is more wave-sensitive and only exhibits withinsample detectable moderation in 2023. The broader implication is that the productivity relevance</w:t>
      </w:r>
      <w:r>
        <w:t xml:space="preserve"> </w:t>
      </w:r>
      <w:r>
        <w:t xml:space="preserve">of basic digital adoption in a transitional economy is real but uneven, and that pooled averages</w:t>
      </w:r>
      <w:r>
        <w:t xml:space="preserve"> </w:t>
      </w:r>
      <w:r>
        <w:t xml:space="preserve">can conceal important temporal heterogeneity in when and how digital adoption matters.</w:t>
      </w:r>
    </w:p>
    <w:bookmarkEnd w:id="69"/>
    <w:bookmarkStart w:id="70" w:name="conflict-of-interest"/>
    <w:p>
      <w:pPr>
        <w:pStyle w:val="Heading2"/>
      </w:pPr>
      <w:r>
        <w:t xml:space="preserve">Conflict of interest</w:t>
      </w:r>
    </w:p>
    <w:p>
      <w:pPr>
        <w:pStyle w:val="FirstParagraph"/>
      </w:pPr>
      <w:r>
        <w:t xml:space="preserve">The authors declare no conflict of interest.</w:t>
      </w:r>
    </w:p>
    <w:bookmarkEnd w:id="70"/>
    <w:bookmarkStart w:id="71"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1"/>
    <w:bookmarkStart w:id="72"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2"/>
    <w:bookmarkStart w:id="73"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3"/>
    <w:bookmarkStart w:id="74"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4"/>
    <w:bookmarkStart w:id="75"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1),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3 panels A–D + G), tables/selection_checks.csv (Heckman / control function), and tables/table_paternoster.csv</w:t>
      </w:r>
      <w:r>
        <w:t xml:space="preserve"> </w:t>
      </w:r>
      <w:r>
        <w:t xml:space="preserve">(cross-wave z-tests). Replication package and instructions: see p4_vietnam/README.md.</w:t>
      </w:r>
    </w:p>
    <w:p>
      <w:r>
        <w:pict>
          <v:rect style="width:0;height:1.5pt" o:hralign="center" o:hrstd="t" o:hr="t"/>
        </w:pict>
      </w:r>
    </w:p>
    <w:bookmarkEnd w:id="75"/>
    <w:bookmarkStart w:id="76"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 https://doi.org/10.1257/jep.21.3.105</w:t>
      </w:r>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 https://doi.org/10.1057/jibs.2015.20</w:t>
      </w:r>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 https://doi.org/10.1002/smj.2475</w:t>
      </w:r>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 https://doi.org/10.1057/palgrave.jibs.8400390</w:t>
      </w:r>
      <w:r>
        <w:t xml:space="preserve"> </w:t>
      </w: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 Retrieved May 9, 2026, from https://ojs.umt.edu.pk/index.php/jfar</w:t>
      </w:r>
      <w:r>
        <w:t xml:space="preserve"> </w:t>
      </w:r>
      <w:r>
        <w:t xml:space="preserve">Eisenhardt, K. M., &amp; Martin, J. A. (2000). Dynamic capabilities: What are they?</w:t>
      </w:r>
      <w:r>
        <w:t xml:space="preserve"> </w:t>
      </w:r>
      <w:r>
        <w:rPr>
          <w:iCs/>
          <w:i/>
        </w:rPr>
        <w:t xml:space="preserve">Strategic Management Journal, 21</w:t>
      </w:r>
      <w:r>
        <w:t xml:space="preserve">(10–11), 1105–1121. https://doi.org/10.1002/1097-0266(200010/11)21:10/11%3C1105::AID-SMJ133%3E3.0.CO;2-E</w:t>
      </w:r>
      <w:r>
        <w:t xml:space="preserve"> </w:t>
      </w:r>
      <w:r>
        <w:t xml:space="preserve">Goldfarb, A., &amp; Tucker, C. (2019). Digital economics.</w:t>
      </w:r>
      <w:r>
        <w:t xml:space="preserve"> </w:t>
      </w:r>
      <w:r>
        <w:rPr>
          <w:iCs/>
          <w:i/>
        </w:rPr>
        <w:t xml:space="preserve">Journal of Economic Literature, 57</w:t>
      </w:r>
      <w:r>
        <w:t xml:space="preserve">(1), 3–43. https://doi.org/10.1257/jel.20171452</w:t>
      </w:r>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 https://doi.org/10.1002/smj.2399</w:t>
      </w:r>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 https://doi.org/10.1111/joms.12639</w:t>
      </w:r>
      <w:r>
        <w:t xml:space="preserve"> </w:t>
      </w:r>
      <w:r>
        <w:t xml:space="preserve">Heckman, J. J. (1979). Sample selection bias as a specification error.</w:t>
      </w:r>
      <w:r>
        <w:t xml:space="preserve"> </w:t>
      </w:r>
      <w:r>
        <w:rPr>
          <w:iCs/>
          <w:i/>
        </w:rPr>
        <w:t xml:space="preserve">Econometrica, 47</w:t>
      </w:r>
      <w:r>
        <w:t xml:space="preserve">(1), 153–161. https://doi.org/10.2307/1912352</w:t>
      </w:r>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https://doi.org/10.1007/s11575-007-0023-3</w:t>
      </w:r>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 https://doi.org/10.1002/gsj.8</w:t>
      </w:r>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 https://www.itu.int/en/ITU-D/Statistics/Pages/publications/wtid.aspx</w:t>
      </w:r>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r>
        <w:t xml:space="preserve"> </w:t>
      </w:r>
      <w:r>
        <w:t xml:space="preserve">Knight, G. A., &amp; Liesch, P. W. (2016). Internationalization: From incremental to born global.</w:t>
      </w:r>
      <w:r>
        <w:t xml:space="preserve"> </w:t>
      </w:r>
      <w:r>
        <w:rPr>
          <w:iCs/>
          <w:i/>
        </w:rPr>
        <w:t xml:space="preserve">Journal of World Business, 51</w:t>
      </w:r>
      <w:r>
        <w:t xml:space="preserve">(1), 93–102. https://doi.org/10.1016/j.jwb.2015.08.011</w:t>
      </w:r>
      <w:r>
        <w:t xml:space="preserve"> </w:t>
      </w:r>
      <w:r>
        <w:t xml:space="preserve">Lall, S. (1992). Technological capabilities and industrialization.</w:t>
      </w:r>
      <w:r>
        <w:t xml:space="preserve"> </w:t>
      </w:r>
      <w:r>
        <w:rPr>
          <w:iCs/>
          <w:i/>
        </w:rPr>
        <w:t xml:space="preserve">World Development, 20</w:t>
      </w:r>
      <w:r>
        <w:t xml:space="preserve">(2), 165–186. https://doi.org/10.1016/0305-750X(92)90097-F</w:t>
      </w:r>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 https://doi.org/10.1057/s41267-019-00269-x</w:t>
      </w:r>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r>
        <w:t xml:space="preserve"> </w:t>
      </w:r>
      <w:r>
        <w:t xml:space="preserve">Prime Minister of Vietnam. (2020, June 3).</w:t>
      </w:r>
      <w:r>
        <w:t xml:space="preserve"> </w:t>
      </w:r>
      <w:r>
        <w:rPr>
          <w:iCs/>
          <w:i/>
        </w:rPr>
        <w:t xml:space="preserve">Decision No. 749/QD-TTg approving the</w:t>
      </w:r>
      <w:r>
        <w:rPr>
          <w:iCs/>
          <w:i/>
        </w:rPr>
        <w:t xml:space="preserve"> </w:t>
      </w:r>
      <w:r>
        <w:rPr>
          <w:iCs/>
          <w:i/>
        </w:rPr>
        <w:t xml:space="preserve">“</w:t>
      </w:r>
      <w:r>
        <w:rPr>
          <w:iCs/>
          <w:i/>
        </w:rPr>
        <w:t xml:space="preserve">National Digital Transformation Programme by 2025, with orientations towards 2030</w:t>
      </w:r>
      <w:r>
        <w:rPr>
          <w:iCs/>
          <w:i/>
        </w:rPr>
        <w:t xml:space="preserve">”</w:t>
      </w:r>
      <w:r>
        <w:t xml:space="preserve"> </w:t>
      </w:r>
      <w:r>
        <w:t xml:space="preserve">[Policy document]. Retrieved May 9, 2026, from https://english.luatvietnam.vn/decision-no-749-qd-ttg-on-approving-the-national-digital-transformation-program-until-2025-with-a-vision-184241-doc1.html</w:t>
      </w:r>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r>
        <w:t xml:space="preserve"> </w:t>
      </w:r>
      <w:r>
        <w:t xml:space="preserve">Staiger, D., &amp; Stock, J. H. (1997). Instrumental variables regression with weak instruments.</w:t>
      </w:r>
      <w:r>
        <w:t xml:space="preserve"> </w:t>
      </w:r>
      <w:r>
        <w:rPr>
          <w:iCs/>
          <w:i/>
        </w:rPr>
        <w:t xml:space="preserve">Econometrica, 65</w:t>
      </w:r>
      <w:r>
        <w:t xml:space="preserve">(3), 557–586. https://doi.org/10.2307/2171753</w:t>
      </w:r>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 https://doi.org/10.1108/MBR-05-2017-0028</w:t>
      </w:r>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https://doi.org/10.1002/gsj.1375</w:t>
      </w:r>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r>
        <w:t xml:space="preserve"> </w:t>
      </w:r>
      <w:r>
        <w:t xml:space="preserve">Vernon, R. (1979). The product cycle hypothesis in a new international environment.</w:t>
      </w:r>
      <w:r>
        <w:t xml:space="preserve"> </w:t>
      </w:r>
      <w:r>
        <w:rPr>
          <w:iCs/>
          <w:i/>
        </w:rPr>
        <w:t xml:space="preserve">Bulletin of Economics and Statistics, 41</w:t>
      </w:r>
      <w:r>
        <w:t xml:space="preserve">(4), 255–267. https://doi.org/10.1111/j.1468-0084.1979.mp41004002.x</w:t>
      </w:r>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 https://doi.org/10.1016/j.jsis.2019.01.003</w:t>
      </w:r>
      <w:r>
        <w:t xml:space="preserve"> </w:t>
      </w: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 https://www.enterprisesurveys.org/en/enterprisesurveys</w:t>
      </w:r>
      <w:r>
        <w:t xml:space="preserve"> </w:t>
      </w:r>
      <w:r>
        <w:t xml:space="preserve">World Bank. (2016).</w:t>
      </w:r>
      <w:r>
        <w:t xml:space="preserve"> </w:t>
      </w:r>
      <w:r>
        <w:rPr>
          <w:iCs/>
          <w:i/>
        </w:rPr>
        <w:t xml:space="preserve">Vietnam Enterprise Survey 2015: Data file</w:t>
      </w:r>
      <w:r>
        <w:t xml:space="preserve">. Enterprise Surveys, World Bank Group. Retrieved May 9, 2026, from https://www.enterprisesurveys.org/en/enterprisesurveys</w:t>
      </w:r>
      <w:r>
        <w:t xml:space="preserve"> </w:t>
      </w:r>
      <w:r>
        <w:t xml:space="preserve">World Bank. (2024).</w:t>
      </w:r>
      <w:r>
        <w:t xml:space="preserve"> </w:t>
      </w:r>
      <w:r>
        <w:rPr>
          <w:iCs/>
          <w:i/>
        </w:rPr>
        <w:t xml:space="preserve">Vietnam Enterprise Survey 2023: Data file</w:t>
      </w:r>
      <w:r>
        <w:t xml:space="preserve">. Enterprise Surveys, World Bank Group. Retrieved May 9, 2026, from https://www.enterprisesurveys.org/en/enterprisesurveys</w:t>
      </w:r>
      <w:r>
        <w:t xml:space="preserve"> </w:t>
      </w:r>
      <w:r>
        <w:t xml:space="preserve">World Bank. (2026).</w:t>
      </w:r>
      <w:r>
        <w:t xml:space="preserve"> </w:t>
      </w:r>
      <w:r>
        <w:rPr>
          <w:iCs/>
          <w:i/>
        </w:rPr>
        <w:t xml:space="preserve">World Development Indicators</w:t>
      </w:r>
      <w:r>
        <w:t xml:space="preserve"> </w:t>
      </w:r>
      <w:r>
        <w:t xml:space="preserve">[Data set]. Retrieved May 9, 2026, from https://databank.worldbank.org/source/world-development-indicators</w:t>
      </w:r>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 https://doi.org/10.1111/j.1467-6486.2005.00487.x</w:t>
      </w:r>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 https://doi.org/10.1007/s11575-022-00466-1</w:t>
      </w:r>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 https://doi.org/10.1016/j.jwb.2015.09.001</w:t>
      </w:r>
    </w:p>
    <w:bookmarkEnd w:id="76"/>
    <w:bookmarkEnd w:id="7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abstractNum w:abstractNumId="99431998">
    <w:nsid w:val="A99431998"/>
    <w:multiLevelType w:val="multilevel"/>
    <w:lvl w:ilvl="0">
      <w:start w:val="1998"/>
      <w:numFmt w:val="decimal"/>
      <w:lvlText w:val="(%1)"/>
      <w:lvlJc w:val="left"/>
      <w:pPr>
        <w:ind w:left="720" w:hanging="480"/>
      </w:pPr>
    </w:lvl>
    <w:lvl w:ilvl="1">
      <w:start w:val="1998"/>
      <w:numFmt w:val="decimal"/>
      <w:lvlText w:val="(%2)"/>
      <w:lvlJc w:val="left"/>
      <w:pPr>
        <w:ind w:left="1440" w:hanging="480"/>
      </w:pPr>
    </w:lvl>
    <w:lvl w:ilvl="2">
      <w:start w:val="1998"/>
      <w:numFmt w:val="decimal"/>
      <w:lvlText w:val="(%3)"/>
      <w:lvlJc w:val="left"/>
      <w:pPr>
        <w:ind w:left="2160" w:hanging="480"/>
      </w:pPr>
    </w:lvl>
    <w:lvl w:ilvl="3">
      <w:start w:val="1998"/>
      <w:numFmt w:val="decimal"/>
      <w:lvlText w:val="(%4)"/>
      <w:lvlJc w:val="left"/>
      <w:pPr>
        <w:ind w:left="2880" w:hanging="480"/>
      </w:pPr>
    </w:lvl>
    <w:lvl w:ilvl="4">
      <w:start w:val="1998"/>
      <w:numFmt w:val="decimal"/>
      <w:lvlText w:val="(%5)"/>
      <w:lvlJc w:val="left"/>
      <w:pPr>
        <w:ind w:left="3600" w:hanging="480"/>
      </w:pPr>
    </w:lvl>
    <w:lvl w:ilvl="5">
      <w:start w:val="1998"/>
      <w:numFmt w:val="decimal"/>
      <w:lvlText w:val="(%6)"/>
      <w:lvlJc w:val="left"/>
      <w:pPr>
        <w:ind w:left="4320" w:hanging="480"/>
      </w:pPr>
    </w:lvl>
    <w:lvl w:ilvl="6">
      <w:start w:val="1998"/>
      <w:numFmt w:val="decimal"/>
      <w:lvlText w:val="(%7)"/>
      <w:lvlJc w:val="left"/>
      <w:pPr>
        <w:ind w:left="5040" w:hanging="480"/>
      </w:pPr>
    </w:lvl>
    <w:lvl w:ilvl="7">
      <w:start w:val="1998"/>
      <w:numFmt w:val="decimal"/>
      <w:lvlText w:val="(%8)"/>
      <w:lvlJc w:val="left"/>
      <w:pPr>
        <w:ind w:left="5760" w:hanging="480"/>
      </w:pPr>
    </w:lvl>
    <w:lvl w:ilvl="8">
      <w:start w:val="1998"/>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 w:numId="1002">
    <w:abstractNumId w:val="99431998"/>
    <w:lvlOverride w:ilvl="0">
      <w:startOverride w:val="1998"/>
    </w:lvlOverride>
    <w:lvlOverride w:ilvl="1">
      <w:startOverride w:val="1998"/>
    </w:lvlOverride>
    <w:lvlOverride w:ilvl="2">
      <w:startOverride w:val="1998"/>
    </w:lvlOverride>
    <w:lvlOverride w:ilvl="3">
      <w:startOverride w:val="1998"/>
    </w:lvlOverride>
    <w:lvlOverride w:ilvl="4">
      <w:startOverride w:val="1998"/>
    </w:lvlOverride>
    <w:lvlOverride w:ilvl="5">
      <w:startOverride w:val="1998"/>
    </w:lvlOverride>
    <w:lvlOverride w:ilvl="6">
      <w:startOverride w:val="1998"/>
    </w:lvlOverride>
    <w:lvlOverride w:ilvl="7">
      <w:startOverride w:val="1998"/>
    </w:lvlOverride>
    <w:lvlOverride w:ilvl="8">
      <w:startOverride w:val="199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2026-05-10T12:33:18Z</dcterms:created>
  <dcterms:modified xsi:type="dcterms:W3CDTF">2026-05-10T12:33:18Z</dcterms:modified>
</cp:coreProperties>
</file>

<file path=docProps/custom.xml><?xml version="1.0" encoding="utf-8"?>
<Properties xmlns="http://schemas.openxmlformats.org/officeDocument/2006/custom-properties" xmlns:vt="http://schemas.openxmlformats.org/officeDocument/2006/docPropsVTypes"/>
</file>