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(mục tiêu JED), P4 Singapore (mục tiêu MIR), P5 Trung Quốc (mục tiêu IJOEM),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(target JED), P4 Singapore (target MIR), P5 China (target IJOEM),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mục tiêu JED)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mục tiêu MIR) phân tích 623 doanh nghiệp WBES 2023, cho thấy điểm uốn hàm ý ở FSTS khoảng 88,6% và DAI hoạt động như nguồn lực mở rộng tình huống với hệ số DAI×FSTS² = +3,119 (p = 0,005). P5 Trung Quốc (Đỗ &amp; Phan, 2026b, mục tiêu IJOEM)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mục tiêu JED):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mục tiêu MIR):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mục tiêu IJOEM):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JED (mục tiêu)</w:t>
            </w:r>
          </w:p>
        </w:tc>
        <w:tc>
          <w:tcPr/>
          <w:p>
            <w:pPr>
              <w:pStyle w:val="Compact"/>
              <w:jc w:val="left"/>
            </w:pPr>
            <w:r>
              <w:t xml:space="preserve">MIR (mục tiêu)</w:t>
            </w:r>
          </w:p>
        </w:tc>
        <w:tc>
          <w:tcPr/>
          <w:p>
            <w:pPr>
              <w:pStyle w:val="Compact"/>
              <w:jc w:val="left"/>
            </w:pPr>
            <w:r>
              <w:t xml:space="preserve">IJOEM (mục tiêu)</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mục tiêu JWB):</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IBR):</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(mục tiêu World Development):</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chưa nộp].</w:t>
      </w:r>
      <w:r>
        <w:t xml:space="preserve"> </w:t>
      </w:r>
      <w:r>
        <w:rPr>
          <w:iCs/>
          <w:i/>
        </w:rPr>
        <w:t xml:space="preserve">Journal of Economics and Development</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chưa nộp].</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chưa nộp].</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(mục tiêu JED):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(mục tiêu MIR):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(mục tiêu IJOEM):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2026-06-25T17:35:55Z</dcterms:created>
  <dcterms:modified xsi:type="dcterms:W3CDTF">2026-06-25T17:35:55Z</dcterms:modified>
</cp:coreProperties>
</file>

<file path=docProps/custom.xml><?xml version="1.0" encoding="utf-8"?>
<Properties xmlns="http://schemas.openxmlformats.org/officeDocument/2006/custom-properties" xmlns:vt="http://schemas.openxmlformats.org/officeDocument/2006/docPropsVTypes"/>
</file>