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87.png" ContentType="image/png"/>
  <Override PartName="/word/media/rId154.png" ContentType="image/png"/>
  <Override PartName="/word/media/rId151.png" ContentType="image/png"/>
  <Override PartName="/word/media/rId171.png" ContentType="image/png"/>
  <Override PartName="/word/media/rId158.png" ContentType="image/png"/>
  <Override PartName="/word/media/rId162.png" ContentType="image/png"/>
  <Override PartName="/word/media/rId234.png" ContentType="image/png"/>
  <Override PartName="/word/media/rId174.png" ContentType="image/png"/>
  <Override PartName="/word/media/rId222.png" ContentType="image/png"/>
  <Override PartName="/word/media/rId1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pPr>
      <w:r>
        <w:t> </w:t>
      </w:r>
    </w:p>
    <w:p>
      <w:pPr>
        <w:jc w:val="center"/>
        <w:spacing w:after="120"/>
      </w:pPr>
      <w:r>
        <w:rPr>
          <w:b/>
          <w:sz w:val="28"/>
        </w:rPr>
        <w:t xml:space="preserve">ĐỖ THÙY HƯƠNG</w:t>
      </w:r>
    </w:p>
    <w:p>
      <w:pPr>
        <w:jc w:val="center"/>
      </w:pPr>
      <w:r>
        <w:t> </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pPr>
      <w:r>
        <w:t> </w:t>
      </w:r>
    </w:p>
    <w:p>
      <w:pPr>
        <w:jc w:val="center"/>
        <w:spacing w:after="120"/>
      </w:pPr>
      <w:r>
        <w:rPr>
          <w:b/>
          <w:sz w:val="28"/>
        </w:rPr>
        <w:t xml:space="preserve">CẦN THƠ, NĂM 2026</w:t>
      </w:r>
    </w:p>
    <w:p>
      <w:r>
        <w:br w:type="page"/>
      </w:r>
    </w:p>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kinh doanh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 Luận điểm trọng tâm mà luận án phát biểu và kiểm định là thể chế không chỉ điều tiết độ lớn mà quy định cả dấu và dạng hình của quan hệ I–P, và tại cực trị thể chế, toàn bộ họ mô hình chữ U ngược ngừng áp dụng.</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phát hiện vững trên mẫu đầy đủ bảy nền đảo nhỏ Thái Bình Dương (</w:t>
      </w:r>
      <m:oMath>
        <m:r>
          <m:t>N</m:t>
        </m:r>
        <m:r>
          <m:rPr>
            <m:sty m:val="p"/>
          </m:rPr>
          <m:t>=</m:t>
        </m:r>
        <m:r>
          <m:t>1.450</m:t>
        </m:r>
      </m:oMath>
      <w:r>
        <w:t xml:space="preserve">, bảy cụm) là sự</w:t>
      </w:r>
      <w:r>
        <w:t xml:space="preserve"> </w:t>
      </w:r>
      <w:r>
        <w:rPr>
          <w:bCs/>
          <w:b/>
        </w:rPr>
        <w:t xml:space="preserve">mất cấu trúc của dạng chữ U ngược</w:t>
      </w:r>
      <w:r>
        <w:t xml:space="preserve"> </w:t>
      </w:r>
      <w:r>
        <w:t xml:space="preserve">(độ dốc không có ý nghĩa và độ cong chỉ đạt mức biên), với quan hệ nghiêng về một dạng âm đơn điệu như trường hợp giới hạn lý thuyết được luận án đặt tên là</w:t>
      </w:r>
      <w:r>
        <w:t xml:space="preserve"> </w:t>
      </w:r>
      <w:r>
        <w:rPr>
          <w:bCs/>
          <w:b/>
        </w:rPr>
        <w:t xml:space="preserve">gánh nặng quốc tế hóa bắt buộc (Forced Internationalization Penalty, FIP)</w:t>
      </w:r>
      <w:r>
        <w:t xml:space="preserve"> </w:t>
      </w:r>
      <w:r>
        <w:t xml:space="preserve">(hệ số âm mạnh chỉ xuất hiện trên bản dựng dữ liệu hạn chế ba cụm,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hoạt động kinh doanh của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 The dissertation’s central thesis, which it states and tests, is that institutions govern not merely the magnitude but the sign and shape of the I–P relationship, and that at the institutional extreme the entire inverted-U family ceases to apply.</w:t>
      </w:r>
    </w:p>
    <w:p>
      <w:pPr>
        <w:pStyle w:val="BodyText"/>
      </w:pPr>
      <w:r>
        <w:t xml:space="preserve">The study adopts a mixed synthesis-empirical design: (i) a three-level meta-analysis spanning 1977–2026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Tổng hợp hệ giả thuyết: phát biểu, dấu kỳ vọng, cơ sở lý thuyết và biến kiểm định (Chương 2, Mục 2.5.8)</w:t>
      </w:r>
      <w:r>
        <w:t xml:space="preserve"> </w:t>
      </w:r>
      <w:r>
        <w:t xml:space="preserve">- Bảng 2.2. Ánh xạ nghiên cứu thành phần, mục trình bày, giả thuyết (Chương 2, Mục 2.5.9)</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50 nền: điểm uốn và kiểm định Lind–Mehlum (Chương 4, Mục 4.6.1)</w:t>
      </w:r>
      <w:r>
        <w:t xml:space="preserve"> </w:t>
      </w:r>
      <w:r>
        <w:t xml:space="preserve">- Bảng 4.7. Điểm uốn theo nhóm ICRV, khung 50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r>
        <w:t xml:space="preserve"> </w:t>
      </w:r>
      <w:r>
        <w:t xml:space="preserve">- Bảng 5.1. Sợi chỉ vàng tích hợp: câu hỏi nghiên cứu, nghiên cứu thành phần, giả thuyết, phát hiện thực nghiệm chủ chốt, đóng góp lý thuyết (Chương 5, Mục 5.1.8)</w:t>
      </w:r>
    </w:p>
    <w:p>
      <w:pPr>
        <w:pStyle w:val="BodyText"/>
      </w:pPr>
      <w:r>
        <w:rPr>
          <w:bCs/>
          <w:b/>
        </w:rPr>
        <w:t xml:space="preserve">Bảng phụ lục (không đánh số trong danh mục, theo mục):</w:t>
      </w:r>
      <w:r>
        <w:t xml:space="preserve"> </w:t>
      </w:r>
      <w:r>
        <w:t xml:space="preserve">- Bảng C.1. Kết quả hồi quy chính và điểm uốn của tám nghiên cứu thành phần (Phụ lục C, Mục C.1)</w:t>
      </w:r>
      <w:r>
        <w:t xml:space="preserve"> </w:t>
      </w:r>
      <w:r>
        <w:t xml:space="preserve">- Bảng C.2. Chi tiết phân tích tổng hợp ba tầng P6 (Phụ lục C, Mục C.2)</w:t>
      </w:r>
      <w:r>
        <w:t xml:space="preserve"> </w:t>
      </w:r>
      <w:r>
        <w:t xml:space="preserve">- Bảng C.3. Điểm uốn theo sáu nhóm ICRV trong kiểm định toàn mẫu P7 (Phụ lục C, Mục C.3)</w:t>
      </w:r>
      <w:r>
        <w:t xml:space="preserve"> </w:t>
      </w:r>
      <w:r>
        <w:t xml:space="preserve">- Bảng C.4. Tóm tắt kiểm định độ vững theo từng nghiên cứu thành phần (Phụ lục C, Mục C.4)</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Phổ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Bậc 1–4</w:t>
            </w:r>
          </w:p>
        </w:tc>
        <w:tc>
          <w:tcPr/>
          <w:p>
            <w:pPr>
              <w:pStyle w:val="Compact"/>
              <w:jc w:val="left"/>
            </w:pPr>
            <w:r>
              <w:t xml:space="preserve">Digital adoption tiers 1–4</w:t>
            </w:r>
          </w:p>
        </w:tc>
        <w:tc>
          <w:tcPr/>
          <w:p>
            <w:pPr>
              <w:pStyle w:val="Compact"/>
              <w:jc w:val="left"/>
            </w:pPr>
            <w:r>
              <w:t xml:space="preserve">Bốn bậc chuyển đổi số dùng để phân tầng chỉ số chấp nhận số (DAI): Bậc 1 hiện diện số cơ bản (website), Bậc 2 giao dịch số (thanh toán điện tử), Bậc 3 tích hợp hệ thống, Bậc 4 năng lực số nâng cao; dữ liệu WBES chỉ đo được Bậc 1–2</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theo vai trò trong luận án: (i) công trình đã công bố là</w:t>
      </w:r>
      <w:r>
        <w:t xml:space="preserve"> </w:t>
      </w:r>
      <w:r>
        <w:rPr>
          <w:bCs/>
          <w:b/>
        </w:rPr>
        <w:t xml:space="preserve">kết quả của luận án</w:t>
      </w:r>
      <w:r>
        <w:t xml:space="preserve">; (ii) công trình đã công bố là</w:t>
      </w:r>
      <w:r>
        <w:t xml:space="preserve"> </w:t>
      </w:r>
      <w:r>
        <w:rPr>
          <w:bCs/>
          <w:b/>
        </w:rPr>
        <w:t xml:space="preserve">tiền đề được luận án mở rộng</w:t>
      </w:r>
      <w:r>
        <w:t xml:space="preserve">, chỉ trích dẫn (không tính là sản phẩm chính); (iii) bản thảo</w:t>
      </w:r>
      <w:r>
        <w:t xml:space="preserve"> </w:t>
      </w:r>
      <w:r>
        <w:rPr>
          <w:bCs/>
          <w:b/>
        </w:rPr>
        <w:t xml:space="preserve">kết quả của luận án</w:t>
      </w:r>
      <w:r>
        <w:t xml:space="preserve"> </w:t>
      </w:r>
      <w:r>
        <w:t xml:space="preserve">đang hoàn thiện; và (iv) sản phẩm phần mềm.</w:t>
      </w:r>
    </w:p>
    <w:p>
      <w:pPr>
        <w:pStyle w:val="BodyText"/>
      </w:pPr>
      <w:r>
        <w:rPr>
          <w:bCs/>
          <w:b/>
        </w:rPr>
        <w:t xml:space="preserve">A. Đã công bố — kết quả của luận án (đã bình duyệt)</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(Nghiên cứu thành phần P2: chữ U ngược ở doanh nghiệp sản xuất nhỏ và vừa Trung Quốc, điểm uốn 47,8%, cơ chế bẫy vốn lưu động; được trình bày trong luận án ở Mục 4.4.8, bổ trợ cho P5 chứ không bị thay thế.)</w:t>
      </w:r>
    </w:p>
    <w:p>
      <w:pPr>
        <w:pStyle w:val="FirstParagraph"/>
      </w:pPr>
      <w:r>
        <w:rPr>
          <w:bCs/>
          <w:b/>
        </w:rPr>
        <w:t xml:space="preserve">B. Đã công bố — công trình tiền đề được luận án mở rộng (chỉ trích dẫn)</w:t>
      </w:r>
    </w:p>
    <w:p>
      <w:pPr>
        <w:numPr>
          <w:ilvl w:val="0"/>
          <w:numId w:val="1003"/>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(Nghiên cứu thành phần P1, mẫu gộp 17 nền kinh tế; được luận án mở rộng thành mẫu gộp 50 nền kinh tế ở P7, nên được trích dẫn như công trình tiền đề.)</w:t>
      </w:r>
    </w:p>
    <w:p>
      <w:pPr>
        <w:numPr>
          <w:ilvl w:val="0"/>
          <w:numId w:val="1003"/>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được luận án mở rộng thành phân tích tổng hợp ba tầng k = 238 ở P6, nên được trích dẫn như công trình tiền đề.)</w:t>
      </w:r>
    </w:p>
    <w:p>
      <w:pPr>
        <w:numPr>
          <w:ilvl w:val="0"/>
          <w:numId w:val="1003"/>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(Chương sách về Ấn Độ, 380 doanh nghiệp WBES, ước lượng FGLS, lăng kính thượng tầng quản trị; được nghiên cứu thành phần P9 mở rộng qua ba đợt WBES 2014–2025 (~29.000 doanh nghiệp), nên được trích dẫn như công trình tiền đề.)</w:t>
      </w:r>
    </w:p>
    <w:p>
      <w:pPr>
        <w:pStyle w:val="FirstParagraph"/>
      </w:pPr>
      <w:r>
        <w:rPr>
          <w:bCs/>
          <w:b/>
        </w:rPr>
        <w:t xml:space="preserve">C. Bản thảo đang hoàn thiện, chưa nộp — kết quả của luận án (CHƯA công bố)</w:t>
      </w:r>
    </w:p>
    <w:p>
      <w:pPr>
        <w:numPr>
          <w:ilvl w:val="0"/>
          <w:numId w:val="1004"/>
        </w:numPr>
        <w:pStyle w:val="Compact"/>
      </w:pPr>
      <w:r>
        <w:t xml:space="preserve">Nghiên cứu thành phần P3, Việt Nam (bối cảnh chuyển đổi thu nhập trung bình thấp).</w:t>
      </w:r>
      <w:r>
        <w:t xml:space="preserve"> </w:t>
      </w:r>
      <w:r>
        <w:rPr>
          <w:iCs/>
          <w:i/>
        </w:rPr>
        <w:t xml:space="preserve">[Bản thảo chưa nộp.]</w:t>
      </w:r>
    </w:p>
    <w:p>
      <w:pPr>
        <w:numPr>
          <w:ilvl w:val="0"/>
          <w:numId w:val="1004"/>
        </w:numPr>
        <w:pStyle w:val="Compact"/>
      </w:pPr>
      <w:r>
        <w:t xml:space="preserve">Nghiên cứu thành phần P4, Singapore (bối cảnh thể chế tiên tiến–đổi mới).</w:t>
      </w:r>
      <w:r>
        <w:t xml:space="preserve"> </w:t>
      </w:r>
      <w:r>
        <w:rPr>
          <w:iCs/>
          <w:i/>
        </w:rPr>
        <w:t xml:space="preserve">[Bản thảo chưa nộp.]</w:t>
      </w:r>
    </w:p>
    <w:p>
      <w:pPr>
        <w:numPr>
          <w:ilvl w:val="0"/>
          <w:numId w:val="1004"/>
        </w:numPr>
        <w:pStyle w:val="Compact"/>
      </w:pPr>
      <w:r>
        <w:t xml:space="preserve">Nghiên cứu thành phần P5, Trung Quốc 2012–2024 (bối cảnh trung bình cao).</w:t>
      </w:r>
      <w:r>
        <w:t xml:space="preserve"> </w:t>
      </w:r>
      <w:r>
        <w:rPr>
          <w:iCs/>
          <w:i/>
        </w:rPr>
        <w:t xml:space="preserve">[Bản thảo chưa nộp.]</w:t>
      </w:r>
    </w:p>
    <w:p>
      <w:pPr>
        <w:numPr>
          <w:ilvl w:val="0"/>
          <w:numId w:val="1004"/>
        </w:numPr>
        <w:pStyle w:val="Compact"/>
      </w:pPr>
      <w:r>
        <w:t xml:space="preserve">Nghiên cứu thành phần P6, phân tích tổng hợp ba tầng mở rộng 1977–2026.</w:t>
      </w:r>
      <w:r>
        <w:t xml:space="preserve"> </w:t>
      </w:r>
      <w:r>
        <w:rPr>
          <w:iCs/>
          <w:i/>
        </w:rPr>
        <w:t xml:space="preserve">[Bản thảo chưa nộp.]</w:t>
      </w:r>
    </w:p>
    <w:p>
      <w:pPr>
        <w:numPr>
          <w:ilvl w:val="0"/>
          <w:numId w:val="1004"/>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chưa nộp.]</w:t>
      </w:r>
    </w:p>
    <w:p>
      <w:pPr>
        <w:numPr>
          <w:ilvl w:val="0"/>
          <w:numId w:val="1004"/>
        </w:numPr>
        <w:pStyle w:val="Compact"/>
      </w:pPr>
      <w:r>
        <w:t xml:space="preserve">Nghiên cứu thành phần P8, Trường hợp biên SIDS, gánh nặng quốc tế hóa bắt buộc (FIP).</w:t>
      </w:r>
      <w:r>
        <w:t xml:space="preserve"> </w:t>
      </w:r>
      <w:r>
        <w:rPr>
          <w:iCs/>
          <w:i/>
        </w:rPr>
        <w:t xml:space="preserve">[Bản thảo chưa nộp.]</w:t>
      </w:r>
    </w:p>
    <w:p>
      <w:pPr>
        <w:numPr>
          <w:ilvl w:val="0"/>
          <w:numId w:val="1004"/>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chưa nộp.]</w:t>
      </w:r>
    </w:p>
    <w:p>
      <w:pPr>
        <w:numPr>
          <w:ilvl w:val="0"/>
          <w:numId w:val="1004"/>
        </w:numPr>
        <w:pStyle w:val="Compact"/>
      </w:pPr>
      <w:r>
        <w:t xml:space="preserve">Nghiên cứu thành phần P10, Nhật Bản: kiểm định biên trên của phổ thể chế trên đợt khảo sát WBES khai mở 2025.</w:t>
      </w:r>
      <w:r>
        <w:t xml:space="preserve"> </w:t>
      </w:r>
      <w:r>
        <w:rPr>
          <w:iCs/>
          <w:i/>
        </w:rPr>
        <w:t xml:space="preserve">[Bản thảo chuẩn bị gửi Asian Business &amp; Management.]</w:t>
      </w:r>
    </w:p>
    <w:p>
      <w:pPr>
        <w:numPr>
          <w:ilvl w:val="0"/>
          <w:numId w:val="1004"/>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bCs/>
          <w:b/>
        </w:rPr>
        <w:t xml:space="preserve">D. Sản phẩm phần mềm (đăng ký quyền tác giả)</w:t>
      </w:r>
    </w:p>
    <w:p>
      <w:pPr>
        <w:numPr>
          <w:ilvl w:val="0"/>
          <w:numId w:val="1005"/>
        </w:numPr>
        <w:pStyle w:val="Compact"/>
      </w:pPr>
      <w:r>
        <w:t xml:space="preserve">Đỗ Thùy Hương (2026).</w:t>
      </w:r>
      <w:r>
        <w:t xml:space="preserve"> </w:t>
      </w:r>
      <w:r>
        <w:rPr>
          <w:iCs/>
          <w:i/>
        </w:rPr>
        <w:t xml:space="preserve">M-AIDA — Meta-Analysis Intelligent Data Assistant (phiên bản 7.0)</w:t>
      </w:r>
      <w:r>
        <w:t xml:space="preserve"> </w:t>
      </w:r>
      <w:r>
        <w:t xml:space="preserve">[Phần mềm máy tính]. Trường Đại học Cần Thơ.</w:t>
      </w:r>
      <w:r>
        <w:t xml:space="preserve"> </w:t>
      </w:r>
      <w:r>
        <w:rPr>
          <w:iCs/>
          <w:i/>
        </w:rPr>
        <w:t xml:space="preserve">(Công cụ trích xuất dữ liệu cỡ ảnh hưởng hỗ trợ bằng mô hình ngôn ngữ lớn, với kiểm chứng toàn bộ của nghiên cứu sinh và cơ chế khóa dữ liệu bất biến; xây dựng phục vụ trực tiếp Nghiên cứu thành phần P6. Đã nộp hồ sơ đăng ký quyền tác giả; mô tả chi tiết ở Phụ lục B.)</w:t>
      </w:r>
    </w:p>
    <w:p>
      <w:pPr>
        <w:pStyle w:val="FirstParagraph"/>
      </w:pPr>
      <w:r>
        <w:rPr>
          <w:iCs/>
          <w:i/>
        </w:rPr>
        <w:t xml:space="preserve">Ghi chú về liêm chính học thuật: Theo định hướng luận án kết hợp công trình thành phần, các kết quả của luận án là các nghiên cứu thành phần P2–P10 (mục A và C), cùng sản phẩm phái sinh P11 theo định hướng phát triển khai thác lại bằng chứng của luận án; trong các chương, chúng được dẫn chiếu bằng nhãn nội bộ (P2–P10) thay vì trích dẫn tác giả–năm. Tiêu chí phân nhóm A so với B: một công trình đã công bố được tính là kết quả (mục A) khi luận án trình bày trực tiếp công trình đó trong các chương; còn công trình mà một nghiên cứu thành phần của luận án mở rộng và thay thế thì chỉ được trích dẫn như tiền đề (mục B), để tránh đếm trùng một phần bằng chứng. Theo tiêu chí này, ba công trình ở mục B là tiền đề đã được mở rộng: P1 (mẫu 17 nền) → P7 (50 nền); phân tích tổng hợp cơ sở ICBEF (k = 113) → P6 (k = 238); và chương sách về Ấn Độ (380 doanh nghiệp, FGLS) → P9 (ba đợt WBES, ~29.000 doanh nghiệp). Các bản thảo ở mục C CHƯA được công bố/bình duyệt chính thức, không được diễn giải như bằng chứng đã qua bình duyệt độc lập; tên tạp chí mục tiêu được nêu để minh bạch định hướng công bố. NCS cập nhật trạng thái tại thời điểm bảo vệ.</w:t>
      </w:r>
    </w:p>
    <w:p>
      <w:r>
        <w:pict>
          <v:rect style="width:0;height:1.5pt" o:hralign="center" o:hrstd="t" o:hr="t"/>
        </w:pict>
      </w:r>
    </w:p>
    <w:p>
      <w:r>
        <w:br w:type="page"/>
      </w:r>
    </w:p>
    <w:bookmarkEnd w:id="27"/>
    <w:bookmarkStart w:id="28" w:name="chương-1-giới-thiệu"/>
    <w:p>
      <w:pPr>
        <w:pStyle w:val="Heading1"/>
      </w:pPr>
      <w:r>
        <w:t xml:space="preserve">CHƯƠNG 1: GIỚI THIỆU</w:t>
      </w:r>
    </w:p>
    <w:bookmarkEnd w:id="28"/>
    <w:p>
      <w:r>
        <w:pict>
          <v:rect style="width:0;height:1.5pt" o:hralign="center" o:hrstd="t" o:hr="t"/>
        </w:pict>
      </w:r>
    </w:p>
    <w:bookmarkStart w:id="3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kinh doanh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hoạt động kinh doanh của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phổ thể chế đặc biệt phong phú để kiểm định. Luận án này tiếp cận phổ thể chế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9" w:name="X756fc8a07162cdb375f09945034083eda48ddb2"/>
    <w:p>
      <w:pPr>
        <w:pStyle w:val="Heading3"/>
      </w:pPr>
      <w:r>
        <w:t xml:space="preserve">1.1.1 Bối cảnh đương đại: thách thức việc làm, phổ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 thách thức việc làm và cơ cấu dân số.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hoạt động kinh doanh của doanh nghiệp trở thành một vấn đề phát triển cấp bách chứ không chỉ là tranh luận học thuật.</w:t>
      </w:r>
    </w:p>
    <w:p>
      <w:pPr>
        <w:pStyle w:val="BodyText"/>
      </w:pPr>
      <w:r>
        <w:t xml:space="preserve">Thứ hai là vai trò trung tâm của chất lượng thể chế trong phân hóa kết quả tăng trưởng.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 kỷ nguyên trí tuệ nhân tạo và biến động giá hàng hóa,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hoạt động kinh doanh của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9"/>
    <w:bookmarkStart w:id="30"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hoạt động kinh doanh của doanh nghiệp gắn trực tiếp với năng lực hấp thụ lực lượng lao động trẻ đang gia tăng nhanh trong khu vực.</w:t>
      </w:r>
    </w:p>
    <w:p>
      <w:pPr>
        <w:pStyle w:val="BodyText"/>
      </w:pPr>
      <w:r>
        <w:t xml:space="preserve">Phổ thể chế (institutional spectrum)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30"/>
    <w:bookmarkEnd w:id="31"/>
    <w:bookmarkStart w:id="3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kinh doanh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Khoảng trống thứ nhất biểu hiện hạn chế đó ở tầng lý thuyết, bởi không một lý thuyết đơn lẻ nào, dù là mô hình Uppsala, lý thuyết dựa trên nguồn lực hay lý thuyết thể chế, cung cấp được một lý giải đầy đủ cho sự dị biệt đó;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 Khoảng trống thứ hai biểu hiện hạn chế đó ở tầng đo lường, vì khi hai cấu trúc số có chiều sâu tổ chức khác nhau bị gộp thành một chỉ số tổng hợp duy nhất, hai cơ chế tác động có thể trái chiều sẽ bị trung bình hóa, che khuất chính cơ chế mà nhà quản trị và nhà hoạch định chính sách cần phân biệt khi quyết định đầu tư vào chiều sâu năng lực hay vào công cụ giao diện. Khoảng trống thứ ba biểu hiện hạn chế đó ở tầng bằng chứng, bởi sự thiếu đại diện của các nền kinh tế chuyển đổi và các nền kinh tế đảo nhỏ đang phát triển làm suy yếu chính khả năng kiểm định điều kiện biên: đúng các địa điểm cực trị về thể chế, nơi điều kiện biên dễ bộc lộ nhất, lại là nơi tài liệu thiếu vắng bằng chứng nhất.</w:t>
      </w:r>
    </w:p>
    <w:p>
      <w:pPr>
        <w:pStyle w:val="BodyText"/>
      </w:pPr>
      <w:r>
        <w:t xml:space="preserve">Khi đặt cạnh nhau, ba tầng hạn chế này chỉ về một câu hỏi nền tảng hơn câu hỏi</w:t>
      </w:r>
      <w:r>
        <w:t xml:space="preserve"> </w:t>
      </w:r>
      <w:r>
        <w:t xml:space="preserve">“</w:t>
      </w:r>
      <w:r>
        <w:t xml:space="preserve">quốc tế hóa có cải thiện hiệu quả hay không</w:t>
      </w:r>
      <w:r>
        <w:t xml:space="preserve">”</w:t>
      </w:r>
      <w:r>
        <w:t xml:space="preserve">. Các nỗ lực tái lặp quy mô lớn với chiến lược nhận diện chặt chẽ cho thấy dạng hàm chữ U ngược suy yếu đáng kể, thậm chí biến mất, trong các mẫu gộp xuyên quốc gia (Berry &amp; Kaul, 2016; Pisani et al., 2020). Nếu cùng một mức độ quốc tế hóa tạo ra kết quả khác nhau không chỉ về độ lớn mà cả về dạng hàm và thậm chí về dấu tùy theo bối cảnh thể chế, thì bản thân dạng hàm của quan hệ quốc tế hóa và hiệu quả không phải là một hằng số phổ quát mà là một hàm của vị trí thể chế. Đây chính là luận điểm trọng tâm mà luận án phát biểu và kiểm định: thể chế không chỉ điều tiết độ lớn của hiệu ứng quốc tế hóa mà quy định cả dấu và dạng hình của nó, và tại cực trị thể chế, nơi các điều kiện cấu trúc tối thiểu đồng thời bị vi phạm, toàn bộ họ mô hình chữ U ngược ngừng áp dụng. Ba khoảng trống vì thế hội tụ thành một vấn đề nghiên cứu duy nhất: cần một cấu trúc giải thích vừa đủ phân tầng để định vị mỗi nền kinh tế trên phổ thể chế, vừa đủ sắc để dự đoán quan hệ quốc tế hóa và hiệu quả sẽ mang dạng hàm nào tại mỗi vị trí trên phổ đó.</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32"/>
    <w:bookmarkStart w:id="3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kinh doanh của doanh nghiệp tại các quốc gia châu Á, trong đó làm rõ vai trò điều tiết của thể chế, năng lực số và đặc điểm nhà quản trị, qua đó kiểm chứng luận điểm trọng tâm rằng thể chế quy định không chỉ độ lớn mà cả dấu và dạng hình của quan hệ đó trên toàn phổ thể chế của khu vực.</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chỉ số năng lực công nghệ,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3"/>
    <w:bookmarkStart w:id="3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kinh doanh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kinh doanh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chỉ số năng lực công nghệ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34"/>
    <w:bookmarkStart w:id="39" w:name="đối-tượng-và-phạm-vi-nghiên-cứu"/>
    <w:p>
      <w:pPr>
        <w:pStyle w:val="Heading2"/>
      </w:pPr>
      <w:r>
        <w:t xml:space="preserve">1.5 Đối tượng và phạm vi nghiên cứu</w:t>
      </w:r>
    </w:p>
    <w:bookmarkStart w:id="3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kinh doanh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5"/>
    <w:bookmarkStart w:id="36" w:name="phạm-vi-không-gian"/>
    <w:p>
      <w:pPr>
        <w:pStyle w:val="Heading3"/>
      </w:pPr>
      <w:r>
        <w:t xml:space="preserve">1.5.2 Phạm vi không gian</w:t>
      </w:r>
    </w:p>
    <w:p>
      <w:pPr>
        <w:pStyle w:val="FirstParagraph"/>
      </w:pPr>
      <w:r>
        <w:t xml:space="preserve">Phạm vi không gian chính của nghiên cứu bao gồm 50 nền kinh tế châu Á và Thái Bình Dương 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dựa trên tài nguyên,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6"/>
    <w:bookmarkStart w:id="37"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37"/>
    <w:bookmarkStart w:id="38"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8"/>
    <w:bookmarkEnd w:id="39"/>
    <w:bookmarkStart w:id="40"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40"/>
    <w:bookmarkStart w:id="41"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kinh doanh của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Chỉ số năng lực công nghệ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chấp nhận số nền tảng,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phổ thể chế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dạng chữ U ngược mất cấu trúc (mất cả độ cong lẫn độ dốc có ý nghĩa), với quan hệ nghiêng về một dạng âm đơn điệu như trường hợp giới hạn lý thuyết,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41"/>
    <w:bookmarkStart w:id="45" w:name="ý-nghĩa-khoa-học-và-thực-tiễn"/>
    <w:p>
      <w:pPr>
        <w:pStyle w:val="Heading2"/>
      </w:pPr>
      <w:r>
        <w:t xml:space="preserve">1.8 Ý nghĩa khoa học và thực tiễn</w:t>
      </w:r>
    </w:p>
    <w:bookmarkStart w:id="42" w:name="đóng-góp-lý-thuyết"/>
    <w:p>
      <w:pPr>
        <w:pStyle w:val="Heading3"/>
      </w:pPr>
      <w:r>
        <w:t xml:space="preserve">1.8.1 Đóng góp lý thuyết</w:t>
      </w:r>
    </w:p>
    <w:p>
      <w:pPr>
        <w:pStyle w:val="FirstParagraph"/>
      </w:pPr>
      <w:r>
        <w:t xml:space="preserve">Về mặt lý thuyết, đóng góp trọng tâm của luận án là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mệnh đề kiểm định được: thể chế không chỉ điều tiết độ lớn mà quy định cả dấu và dạng hình của quan hệ quốc tế hóa và hiệu quả, và tại cực trị thể chế, dạng hàm chữ U ngược ngừng áp dụng. Luận điểm trọng tâm này được nâng đỡ bởi bốn đóng góp lý thuyết thành phần. Đóng góp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Đóng góp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Đóng góp thứ ba là tái định vị mô hình Uppsala trong bối cảnh kỷ nguyên AI bằng cách mở rộng cơ chế học hỏi để bao gồm</w:t>
      </w:r>
      <w:r>
        <w:t xml:space="preserve"> </w:t>
      </w:r>
      <w:r>
        <w:t xml:space="preserve">“</w:t>
      </w:r>
      <w:r>
        <w:t xml:space="preserve">học hỏi tăng cường bằng dữ liệu</w:t>
      </w:r>
      <w:r>
        <w:t xml:space="preserve">”</w:t>
      </w:r>
      <w:r>
        <w:t xml:space="preserve">, phù hợp với xu hướng quốc tế hóa được số hóa hỗ trợ (Banalieva &amp; Dhanaraj, 2019; Yang et al., 2025). Đóng góp thứ tư là đề xuất và đặt tên lý thuyết cho gánh nặng quốc tế hóa bắt buộc (Forced Internationalization Penalty, FIP),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đóng góp lý thuyết thành phần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phổ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42"/>
    <w:bookmarkStart w:id="43"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hiệu ứng điều tiết của thể chế trong tài liệu kinh doanh quốc tế.</w:t>
      </w:r>
    </w:p>
    <w:bookmarkEnd w:id="43"/>
    <w:bookmarkStart w:id="44"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phổ thể chế,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phổ thể chế.</w:t>
      </w:r>
    </w:p>
    <w:bookmarkEnd w:id="44"/>
    <w:bookmarkEnd w:id="45"/>
    <w:bookmarkStart w:id="46"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trường hợp ranh giới cực đoan, theo hiểu biết của tác giả, chưa có nghiên cứu thực nghiệm nào về quan hệ quốc tế hóa và hiệu quả tại châu Á áp dụng một hệ thống phân loại thể chế đủ mịn như vậy. Điểm mới thứ tư là mẫu gộp dữ liệu thuộc loại lớn nhất mà tác giả ghi nhận được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ổn định theo thời gian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 gánh nặng quốc tế hóa bắt buộc (Forced Internationalization Penalty, FIP) cho bối cảnh các nền kinh tế đảo nhỏ Thái Bình Dương, một cấu trúc mà theo hiểu biết của tác giả chưa được định danh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phổ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46"/>
    <w:bookmarkStart w:id="47"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đang được hoàn thiện để gửi các tạp chí ISI/Scopus mục tiêu.</w:t>
      </w:r>
      <w:r>
        <w:t xml:space="preserve"> </w:t>
      </w:r>
      <w:r>
        <w:rPr>
          <w:bCs/>
          <w:b/>
        </w:rPr>
        <w:t xml:space="preserve">P3</w:t>
      </w:r>
      <w:r>
        <w:t xml:space="preserve"> </w:t>
      </w:r>
      <w:r>
        <w:t xml:space="preserve">(Việt Nam, mục tiêu JED): kiểm định chữ U ngược tại Nhóm IV ICRV, điểm uốn = 39,3–46,2% FSTS, TCI là yếu tố nâng mặt bằng có ý nghĩa.</w:t>
      </w:r>
      <w:r>
        <w:t xml:space="preserve"> </w:t>
      </w:r>
      <w:r>
        <w:rPr>
          <w:bCs/>
          <w:b/>
        </w:rPr>
        <w:t xml:space="preserve">P4</w:t>
      </w:r>
      <w:r>
        <w:t xml:space="preserve"> </w:t>
      </w:r>
      <w:r>
        <w:t xml:space="preserve">(Singapore, mục tiêu MIR): kiểm định tại Nhóm I ICRV, điểm uốn ≈ 88,6% (khoảng tin cậy rất rộng và vượt ngưỡng khả thi của FSTS, nên không định vị tin cậy, xem Mục 4.3), DAI Bậc 1 và 2 khuếch đại đường cong quốc tế hóa và hiệu quả.</w:t>
      </w:r>
      <w:r>
        <w:t xml:space="preserve"> </w:t>
      </w:r>
      <w:r>
        <w:rPr>
          <w:bCs/>
          <w:b/>
        </w:rPr>
        <w:t xml:space="preserve">P5</w:t>
      </w:r>
      <w:r>
        <w:t xml:space="preserve"> </w:t>
      </w:r>
      <w:r>
        <w:t xml:space="preserve">(Trung Quốc, mục tiêu IJOEM): kiểm định ổn định theo thời gian, điểm uốn ổn định qua 2012–2024 (≈ 48,78%, Paternoster z = 0,82, p = ,412).</w:t>
      </w:r>
      <w:r>
        <w:t xml:space="preserve"> </w:t>
      </w:r>
      <w:r>
        <w:rPr>
          <w:bCs/>
          <w:b/>
        </w:rPr>
        <w:t xml:space="preserve">P6</w:t>
      </w:r>
      <w:r>
        <w:t xml:space="preserve"> </w:t>
      </w:r>
      <w:r>
        <w:t xml:space="preserve">(meta-analysis ba tầng, mục tiêu JWB): k = 238 nghiên cứu, r̄ = 0,074, I² = 62,4%, phổ thể chế ICRV Q_M = 17,35 (df = 4, p = ,002).</w:t>
      </w:r>
      <w:r>
        <w:t xml:space="preserve"> </w:t>
      </w:r>
      <w:r>
        <w:rPr>
          <w:bCs/>
          <w:b/>
        </w:rPr>
        <w:t xml:space="preserve">P7</w:t>
      </w:r>
      <w:r>
        <w:t xml:space="preserve"> </w:t>
      </w:r>
      <w:r>
        <w:t xml:space="preserve">(50 nền kinh tế, mục tiêu IBR):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mục tiêu World Development):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mục tiêu MIR/IJOEM): độ bền ngưỡng quốc tế hóa và hiệu quả qua ba đợt WBES 2014–2025 (~29.000 doanh nghiệp), phát hiện tan biến 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Bậc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phổ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tăng trưởng doanh thu trong các kiểm định độ vững; TCI là chỉ số năng lực công nghệ; DAI là chỉ số chấp nhận số (digital adoption index), được hiểu như biến đại diện chấp nhận số nền tảng; ICRV là khung phân loại thể chế 6 nhóm được phát triển cho luận án này; WBES là World Bank Enterprise Surveys.</w:t>
      </w:r>
    </w:p>
    <w:p>
      <w:r>
        <w:br w:type="page"/>
      </w:r>
    </w:p>
    <w:bookmarkEnd w:id="47"/>
    <w:bookmarkStart w:id="84"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kinh doanh của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2" w:name="các-khái-niệm-cốt-lõi"/>
    <w:p>
      <w:pPr>
        <w:pStyle w:val="Heading2"/>
      </w:pPr>
      <w:r>
        <w:t xml:space="preserve">2.1 Các khái niệm cốt lõi</w:t>
      </w:r>
    </w:p>
    <w:bookmarkStart w:id="48"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48"/>
    <w:bookmarkStart w:id="49" w:name="Xa0fa67ecba3df3aa7d32b04abc8423a171fc828"/>
    <w:p>
      <w:pPr>
        <w:pStyle w:val="Heading3"/>
      </w:pPr>
      <w:r>
        <w:t xml:space="preserve">2.1.2 Hiệu quả hoạt động kinh doanh của doanh nghiệp</w:t>
      </w:r>
    </w:p>
    <w:p>
      <w:pPr>
        <w:pStyle w:val="FirstParagraph"/>
      </w:pPr>
      <w:r>
        <w:t xml:space="preserve">Hiệu quả hoạt động kinh doanh của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49"/>
    <w:bookmarkStart w:id="50"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0"/>
    <w:bookmarkStart w:id="51"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 Về cách tổng hợp, ICRV là một biến phân loại thứ bậc (ordinal taxonomy) chứ không phải một chỉ số hợp thành liên tục có trọng số: mỗi nền kinh tế được gán vào đúng một trong sáu chế độ theo các ngưỡng định tính kết hợp chất lượng thể chế (WGI), mức thu nhập và đặc trưng cấu trúc, trong đó chất lượng thể chế là tiêu chí trội và hai tiêu chí còn lại dùng để phân giải các trường hợp giáp ranh. Cách vận hành hóa bằng phân loại thay vì chỉ số liên tục được lựa chọn có chủ đích vì mục tiêu của ICRV là kiểm định liệu dạng hàm của quan hệ quốc tế hóa và hiệu quả có thay đổi theo chế độ thể chế hay không, một câu hỏi đòi hỏi các nhóm rời rạc, có thể so sánh chứ không phải một thang đo đơn chiều.</w:t>
      </w:r>
    </w:p>
    <w:p>
      <w:pPr>
        <w:pStyle w:val="BodyText"/>
      </w:pPr>
      <w:r>
        <w:t xml:space="preserve">ICRV không chỉ là một biến phân loại mà còn là một phổ thể chế liên tục, từ môi trường thể chế mạnh, ít rủi ro (Nhóm I) đến môi trường thể chế yếu, nhiều rủi ro và khoảng trống thể chế (Nhóm V và VI). Phổ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51"/>
    <w:bookmarkEnd w:id="52"/>
    <w:bookmarkStart w:id="60" w:name="các-lý-thuyết-nền"/>
    <w:p>
      <w:pPr>
        <w:pStyle w:val="Heading2"/>
      </w:pPr>
      <w:r>
        <w:t xml:space="preserve">2.2 Các lý thuyết nền</w:t>
      </w:r>
    </w:p>
    <w:bookmarkStart w:id="53"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53"/>
    <w:bookmarkStart w:id="54"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Bậc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54"/>
    <w:bookmarkStart w:id="55"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phổ thể chế đa chiều, neo đậu trong lý thuyết thể chế đương đại.</w:t>
      </w:r>
    </w:p>
    <w:bookmarkEnd w:id="55"/>
    <w:bookmarkStart w:id="56"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Theo đó,</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hoạt động kinh doanh của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57"/>
    <w:bookmarkStart w:id="58"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Đặc biệt liên quan đến luận án, Drori và cộng sự (2024), cũng từ lăng kính lý thuyết nội hóa, kiểm định trực tiếp trên mẫu 2.370 doanh nghiệp Mỹ trong giai đoạn 18 năm và phát hiện rằng số hóa làm giảm khiếm khuyết thị trường nhưng mức độ giảm thay đổi theo cường độ số hóa của ngành, đồng thời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phải là bối cảnh ngoài lề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58"/>
    <w:bookmarkStart w:id="59"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hoạt động kinh doanh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minh họa rõ rằng kết quả của doanh nghiệp khi tham gia hoạt động xuyên biên giới là sản phẩm đồng thời của năng lực nội tại, cấu trúc quản trị và bối cảnh thể chế, chứ không quy giản về bất kỳ yếu tố đơn lẻ nào.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Tóm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59"/>
    <w:bookmarkEnd w:id="60"/>
    <w:bookmarkStart w:id="66" w:name="tổng-quan-thực-nghiệm"/>
    <w:p>
      <w:pPr>
        <w:pStyle w:val="Heading2"/>
      </w:pPr>
      <w:r>
        <w:t xml:space="preserve">2.3 Tổng quan thực nghiệm</w:t>
      </w:r>
    </w:p>
    <w:bookmarkStart w:id="61"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kinh doanh của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thiết lập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Cần lưu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Nhìn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61"/>
    <w:bookmarkStart w:id="62"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phân tích tổng hợp về quan hệ quốc tế hóa và hiệu quả, cho phép tổng hợp và định lượng hóa kết quả từ hàng trăm nghiên cứu thực nghiệm riêng lẻ. Tổng hợp từ các phân tích tổng hợp chính cho thấy một kết quả nhất quán nhưng phức tạp.</w:t>
      </w:r>
    </w:p>
    <w:p>
      <w:pPr>
        <w:pStyle w:val="BodyText"/>
      </w:pPr>
      <w:r>
        <w:t xml:space="preserve">Bausch và Krist (2007) phân tích 36 nghiên cứu (41 mẫu) và tìm thấy tác động tổng hợp dương nhưng nhỏ, đồng thời xác nhận rằng mức độ dị biệt (heterogeneity) giữa các nghiên cứu rất cao với I² &gt; 80%, hàm ý rằng các biến điều tiết là nguồn giải thích chủ yếu cho sự khác biệt. Kirca et al. (2012) mở rộng mẫu gộp lên 152 mẫu (141 nghiên cứu) và tìm thấy tác động tổng hợp tương tự, đồng thời xác nhận vai trò của bối cảnh quốc gia và ngành. Marano et al. (2016), nghiên cứu phân tích tổng hợp toàn diện nhất trong tài liệu với 359 nghiên cứu và 32 quốc gia, tìm thấy r ≈ 0,07–0,13 và chứng minh rằng thể chế quốc gia nguồn là biến điều tiết quan trọng nhất trong tất cả các biến bối cảnh được kiểm định. Wu et al. (2022) cập nhật với mẫu gộp 218 quy mô hiệu ứng tập trung vào các thị trường mới nổi multinationals (EMNEs) và tìm thấy mô hình biến điều tiết tương tự. Tại hội nghị ICBEF 2024, kết quả sơ bộ từ mẫu gộp nghiên cứu về châu Á với k = 113 nghiên cứu cho thấy r = 0,07, nhất quán với các phân tích tổng hợp toàn cầu nhưng cụ thể hơn về bối cảnh châu Á. Luận án này mở rộng mẫu gộp đó thông qua Nghiên cứu P6, một phân tích tổng hợp ba tầng (three-level MARA) với k = 238 nghiên cứu và K = 288 quy mô hiệu ứng từ 49 nền kinh tế trên toàn cầu (châu Á–Thái Bình Dương là tiểu mẫu chủ đạo, chiếm 52% corpus, dùng làm phân tích độ nhạy theo vùng), ước lượng r̄ = 0,074 [KTC 95%: 0,060; 0,088], I² = 62,4%, Q_M(ICRV) = 17,35 (df = 4, p = ,002). Kết quả này xác nhận tác động tổng hợp dương nhỏ nhưng bền vững, đồng thời chứng minh rằng phổ thể chế ICRV, điểm uốn giảm dần khi chuyển từ thể chế yếu sang thể chế mạnh, là biến điều tiết thực chất của mối quan hệ quốc tế hóa và hiệu quả trên corpus toàn cầu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Về tổng thể, bằng chứng phân tích tổng hợp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Khoảng cách văn hóa và thể chế giữa thị trường nguồn và thị trường đích cũng là một biên bối cảnh quan trọng: Beugelsdijk et al. (2018), qua một phân tích tổng hợp về khoảng cách văn hóa và quá trình quốc tế hóa của doanh nghiệp, cho thấy hệ quả của quốc tế hóa thay đổi một cách hệ thống theo khoảng cách này, củng cố nhận định rằng chính bối cảnh chứ không phải một dạng hàm phổ quát mới chi phối kết quả.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Tóm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thiết lập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62"/>
    <w:bookmarkStart w:id="63"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tài liệu về quan hệ quốc tế hóa và hiệu quả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diện mạo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hoạt động kinh doanh của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hoạt động kinh doanh của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phổ thể chế và cùng một khung đo lường mới có thể phân tách được phần dị biệt do bối cảnh thể chế tạo ra khỏi phần do đặc trưng doanh nghiệp.</w:t>
      </w:r>
    </w:p>
    <w:bookmarkEnd w:id="63"/>
    <w:bookmarkStart w:id="64"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khung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phổ thể chế.</w:t>
      </w:r>
    </w:p>
    <w:bookmarkEnd w:id="64"/>
    <w:bookmarkStart w:id="65"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khoảng trống thể chế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65"/>
    <w:bookmarkEnd w:id="66"/>
    <w:bookmarkStart w:id="67"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phổ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phổ thể chế của châu Á. Luận án đề xuất khung CDCM (điều tiết theo quốc gia, năng lực số và năng lực doanh nghiệp), là khung lý thuyết tích hợp đa tầng kết hợp bối cảnh thể chế (tầng vĩ mô, vận hành hóa bằng ICRV), năng lực doanh nghiệp với TCI và DAI tách biệt (tầng tổ chức), đặc điểm nhà quản trị cấp cao (tầng cá nhân), và lớp mở rộng lăng kính năng lực số.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phổ thể chế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phổ thể chế ICRV từ nhóm tiên tiến đến nhóm đảo nhỏ, kiểm định đồng thời H1 đến H6 với hiệu ứng cố định nền kinh tế và năm. Điểm uốn hiệu chỉnh năng lực của P7 là 43,6% FSTS, nằm trong vùng chuyển đổi của phổ thể chế, nhất quán với P3 Việt Nam (khoảng 40%) và thấp hơn P5 Trung Quốc (khoảng 49%); cấu trúc ba vùng theo nhóm ICRV xác nhận thể chế điều tiết cả vị trí lẫn sự tồn tại của điểm uốn theo phổ thể chế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67"/>
    <w:bookmarkStart w:id="82" w:name="mô-hình-nghiên-cứu-và-hệ-giả-thuyết"/>
    <w:p>
      <w:pPr>
        <w:pStyle w:val="Heading2"/>
      </w:pPr>
      <w:r>
        <w:t xml:space="preserve">2.5 Mô hình nghiên cứu và hệ giả thuyết</w:t>
      </w:r>
    </w:p>
    <w:bookmarkStart w:id="71"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kinh doanh của doanh nghiệp (labor productivity) được điều tiết đồng thời bởi ba tầng can thiệp. Luận điểm trọng tâm mà mô hình này vận hành hóa và hệ giả thuyết H1–H6 cùng H1b kiểm định là: trong ba tầng đó, tầng thể chế giữ vai trò quy định không chỉ độ lớn mà cả dấu và dạng hình của quan hệ quốc tế hóa và hiệu quả, đến mức tại cực trị thể chế (Nhóm VI SIDS), nơi cả ba tầng đồng thời ở mức tối thiểu, toàn bộ họ mô hình chữ U ngược ngừng áp dụng và quan hệ nghiêng về dạng âm đơn điệu (điều kiện biên FIP). Theo phân loại ba tầng đóng góp lý thuyết của Thomas và cộng sự (2011), luận án không dừng ở tầng thứ nhất (mở rộng một lý thuyết sẵn có sang bối cảnh quốc tế mới) mà đồng thời xác lập một quan hệ hàm đặc thù tại điểm chuyển thể chế, nơi dạng hàm thay đổi về chất (tầng thứ hai), và phát triển một cấu trúc lý thuyết mới là gánh nặng quốc tế hóa bắt buộc (FIP) cho cực trị của phổ thể chế (tầng thứ ba). Việc định vị này làm rõ rằng đóng góp của mô hình không nằm ở việc thêm một biến điều tiết mà ở việc lý thuyết hóa sự biến đổi dạng hàm theo vị trí thể chế.</w:t>
      </w:r>
    </w:p>
    <w:p>
      <w:pPr>
        <w:pStyle w:val="BodyText"/>
      </w:pPr>
      <w:r>
        <w:t xml:space="preserve">Tầng vĩ mô, bối cảnh thể chế, được vận hành hóa bằng khung ICRV với sáu chế độ con theo phổ thể chế từ tiên tiến đổi mới đến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752534"/>
            <wp:effectExtent b="0" l="0" r="0" t="0"/>
            <wp:docPr descr="Hình 2.1. Khung khái niệm tích hợp đa tầng CDCM cho quan hệ Quốc tế hóa–Hiệu quả tại châu Á" title="" id="69" name="Picture"/>
            <a:graphic>
              <a:graphicData uri="http://schemas.openxmlformats.org/drawingml/2006/picture">
                <pic:pic>
                  <pic:nvPicPr>
                    <pic:cNvPr descr="figures/fig_2_1_cdcm_conceptual_model.png" id="70" name="Picture"/>
                    <pic:cNvPicPr>
                      <a:picLocks noChangeArrowheads="1" noChangeAspect="1"/>
                    </pic:cNvPicPr>
                  </pic:nvPicPr>
                  <pic:blipFill>
                    <a:blip r:embed="rId68"/>
                    <a:stretch>
                      <a:fillRect/>
                    </a:stretch>
                  </pic:blipFill>
                  <pic:spPr bwMode="auto">
                    <a:xfrm>
                      <a:off x="0" y="0"/>
                      <a:ext cx="5753100" cy="2752534"/>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71"/>
    <w:bookmarkStart w:id="72"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kinh doanh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72"/>
    <w:bookmarkStart w:id="73"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 quan hệ âm đơn điệu không có điểm uốn, tức là điều kiện biên lý thuyết nơi mọi mức độ quốc tế hóa đều gây tổn hại đến hiệu quả hoạt động kinh doanh của doanh nghiệp.</w:t>
      </w:r>
    </w:p>
    <w:p>
      <w:pPr>
        <w:pStyle w:val="BodyText"/>
      </w:pPr>
      <w:r>
        <w:t xml:space="preserve">Giả thuyết H1b được phát biểu như sau. Tại các nền kinh tế SIDS (ICRV Nhóm VI), mối quan hệ giữa mức độ quốc tế hóa (FSTS) và hiệu quả hoạt động kinh doanh của doanh nghiệp (năng suất lao động) là âm đơn điệu,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Briguglio (1995)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73"/>
    <w:bookmarkStart w:id="74"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 dịch chuyển một cách có trật tự theo quá trình trưởng thành năng lực và thể chế, một khả năng đối lập về mặt lý thuyết là ngưỡng tan biến 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 tan biến theo thời gian (điểm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mất cấu trúc. Cơ sở lý thuyết bao gồm North (1990) về bất định thể chế, Banalieva và Dhanaraj (2019), và bằng chứng đa đợt của P9.</w:t>
      </w:r>
    </w:p>
    <w:bookmarkEnd w:id="74"/>
    <w:bookmarkStart w:id="75"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kinh doanh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 × FSTS² 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75"/>
    <w:bookmarkStart w:id="76"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 × FSTS² (hoặc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76"/>
    <w:bookmarkStart w:id="77"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thiết lập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77"/>
    <w:bookmarkStart w:id="78"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phổ thể chế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Vì H5 là một mệnh đề xuyên cấp, trong đó một cấu trúc cấp quốc gia (chế độ ICRV) điều tiết một quan hệ ở cấp doanh nghiệp, cần nêu rõ kênh truyền dẫn từ tầng vĩ mô xuống tầng vi mô. Kênh đó là phần phụ trội chi phí giao dịch mà chất lượng thể chế áp lên mỗi giao dịch xuyên biên giới: ở chế độ thể chế yếu, chi phí tìm kiếm đối tác, thực thi hợp đồng và bảo vệ quyền sở hữu trong thương mại quốc tế cao hơn, và chính từng doanh nghiệp phải nội bộ hóa phần chi phí này khi mở rộng quốc tế, làm hao mòn năng suất lao động quan sát được ở cấp doanh nghiệp. Vì vậy biến thiên thể chế cấp quốc gia không tác động trừu tượng mà hiện hình thành một khoản phụ trội chi phí cấp giao dịch mà doanh nghiệp gánh chịu, qua đó dịch chuyển cả vị trí điểm uốn lẫn độ dốc của đường quan hệ ở cấp doanh nghiệp. Trên nền kênh truyền dẫn đó, 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phổ thể chế có hướng: vai trò điều tiết của thể chế, và của lá chắn số gắn với nó, mạnh nhất ở biên dưới của phổ thể chế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phổ thể chế.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78"/>
    <w:bookmarkStart w:id="79"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mất cấu trúc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mất cấu trúc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79"/>
    <w:bookmarkStart w:id="80" w:name="tổng-hợp-hệ-giả-thuyết"/>
    <w:p>
      <w:pPr>
        <w:pStyle w:val="Heading3"/>
      </w:pPr>
      <w:r>
        <w:t xml:space="preserve">2.5.8 Tổng hợp hệ giả thuyết</w:t>
      </w:r>
    </w:p>
    <w:p>
      <w:pPr>
        <w:pStyle w:val="FirstParagraph"/>
      </w:pPr>
      <w:r>
        <w:t xml:space="preserve">Bảy giả thuyết nêu trên được tổng hợp trong Bảng 2.1,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2.1.</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 FSTS²;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Briguglio (1995)</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 × FSTS²</w:t>
            </w:r>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 × FSTS²</w:t>
            </w:r>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r>
              <w:t xml:space="preserve"> </w:t>
            </w:r>
            <w:r>
              <w:t xml:space="preserve">(điều tiết độ dốc); dấu của giới tính nữ có thể đảo ở thước đo năng suất do chọn lọc cấu thành (xem Mục 2.5.5)</w:t>
            </w:r>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(phổ thể chế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phổ thể chế</w:t>
            </w:r>
          </w:p>
        </w:tc>
        <w:tc>
          <w:tcPr/>
          <w:p>
            <w:pPr>
              <w:pStyle w:val="Compact"/>
              <w:jc w:val="left"/>
            </w:pPr>
            <w:r>
              <w:t xml:space="preserve">Lý thuyết thể chế (North, 1990; Khanna và Palepu, 2010); Marano et al. (2016)</w:t>
            </w:r>
          </w:p>
        </w:tc>
        <w:tc>
          <w:tcPr/>
          <w:p>
            <w:pPr>
              <w:pStyle w:val="Compact"/>
              <w:jc w:val="left"/>
            </w:pPr>
            <w:r>
              <w:t xml:space="preserve">ICRV × FSTS; ICRV × FSTS²</w:t>
            </w:r>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80"/>
    <w:bookmarkStart w:id="81"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2.2 ánh xạ các nghiên cứu thành phần với mục trình bày kết quả và các giả thuyết tương ứng.</w:t>
      </w:r>
    </w:p>
    <w:p>
      <w:pPr>
        <w:pStyle w:val="BodyText"/>
      </w:pPr>
      <w:r>
        <w:rPr>
          <w:bCs/>
          <w:b/>
        </w:rPr>
        <w:t xml:space="preserve">Bảng 2.2.</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toàn cầu (49 nền)</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phổ thể chế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phổ thể chế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81"/>
    <w:bookmarkEnd w:id="82"/>
    <w:bookmarkStart w:id="83"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Phần này cũng ghi nhận làn sóng nhân rộng quy mô lớn gần đây vốn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2.2 trình bày, để bảo đảm rằng khung lý thuyết được kiểm định trên toàn bộ phổ thể chế của khu vực chứ không chỉ ở một bối cảnh đơn lẻ. Chương 3 sẽ trình bày thiết kế phương pháp và chiến lược kiểm định hệ giả thuyết này.</w:t>
      </w:r>
    </w:p>
    <w:p>
      <w:r>
        <w:br w:type="page"/>
      </w:r>
    </w:p>
    <w:bookmarkEnd w:id="83"/>
    <w:bookmarkEnd w:id="84"/>
    <w:bookmarkStart w:id="85" w:name="chương-3-phương-pháp-nghiên-cứu"/>
    <w:p>
      <w:pPr>
        <w:pStyle w:val="Heading1"/>
      </w:pPr>
      <w:r>
        <w:t xml:space="preserve">CHƯƠNG 3: PHƯƠNG PHÁP NGHIÊN CỨU</w:t>
      </w:r>
    </w:p>
    <w:bookmarkEnd w:id="85"/>
    <w:p>
      <w:r>
        <w:pict>
          <v:rect style="width:0;height:1.5pt" o:hralign="center" o:hrstd="t" o:hr="t"/>
        </w:pict>
      </w:r>
    </w:p>
    <w:bookmarkStart w:id="91" w:name="thiết-kế-nghiên-cứu-tổng-thể"/>
    <w:p>
      <w:pPr>
        <w:pStyle w:val="Heading2"/>
      </w:pPr>
      <w:r>
        <w:t xml:space="preserve">3.1 Thiết kế nghiên cứu tổng thể</w:t>
      </w:r>
    </w:p>
    <w:bookmarkStart w:id="86"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đối thoại hai chiều: phân tích tổng hợp cung cấp cơ sở và gợi ý biến điều tiết cần kiểm định, còn thực nghiệm cung cấp bằng chứng bổ sung cho phân tích tổng hợp về bối cảnh châu Á và Pacific.</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hoạt động kinh doanh của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giai đoạn. Quy mô 50 nền kinh tế/88.869 doanh nghiệp là phạm vi địa lý lớn nhất từng có cho khu vực, mở rộng từ mẫu gộp 17 nước trong nghiên cứu thành phần P1.</w:t>
      </w:r>
    </w:p>
    <w:bookmarkEnd w:id="86"/>
    <w:bookmarkStart w:id="90"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50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88" name="Picture"/>
            <a:graphic>
              <a:graphicData uri="http://schemas.openxmlformats.org/drawingml/2006/picture">
                <pic:pic>
                  <pic:nvPicPr>
                    <pic:cNvPr descr="figures/fig_3_1_research_process.png" id="89" name="Picture"/>
                    <pic:cNvPicPr>
                      <a:picLocks noChangeArrowheads="1" noChangeAspect="1"/>
                    </pic:cNvPicPr>
                  </pic:nvPicPr>
                  <pic:blipFill>
                    <a:blip r:embed="rId87"/>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90"/>
    <w:bookmarkEnd w:id="91"/>
    <w:bookmarkStart w:id="96" w:name="giai-đoạn-1-phân-tích-tổng-hợp-19772026"/>
    <w:p>
      <w:pPr>
        <w:pStyle w:val="Heading2"/>
      </w:pPr>
      <w:r>
        <w:t xml:space="preserve">3.2 Giai đoạn 1: Phân tích tổng hợp 1977–2026</w:t>
      </w:r>
    </w:p>
    <w:bookmarkStart w:id="92"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92"/>
    <w:bookmarkStart w:id="93" w:name="đóng-góp-mớiđiều-chỉnh"/>
    <w:p>
      <w:pPr>
        <w:pStyle w:val="Heading3"/>
      </w:pPr>
      <w:r>
        <w:t xml:space="preserve">3.2.2 Đóng góp mới/điều chỉnh</w:t>
      </w:r>
    </w:p>
    <w:p>
      <w:pPr>
        <w:numPr>
          <w:ilvl w:val="0"/>
          <w:numId w:val="1006"/>
        </w:numPr>
        <w:pStyle w:val="Compact"/>
      </w:pPr>
      <w:r>
        <w:rPr>
          <w:bCs/>
          <w:b/>
        </w:rPr>
        <w:t xml:space="preserve">Mở rộng phạm vi thời gian</w:t>
      </w:r>
      <w:r>
        <w:t xml:space="preserve">: từ 1977–2022 (bài ICBEF 2024)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6"/>
        </w:numPr>
        <w:pStyle w:val="Compact"/>
      </w:pPr>
      <w:r>
        <w:rPr>
          <w:bCs/>
          <w:b/>
        </w:rPr>
        <w:t xml:space="preserve">Mở rộng phạm vi biến điều tiết</w:t>
      </w:r>
      <w:r>
        <w:t xml:space="preserve">: thêm cụm biến điều tiết về năng lực số và 6 chế độ con ICRV, chưa được xem xét đầy đủ trong các phân tích tổng hợp trước.</w:t>
      </w:r>
    </w:p>
    <w:p>
      <w:pPr>
        <w:numPr>
          <w:ilvl w:val="0"/>
          <w:numId w:val="1006"/>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2024 (K=200 / k=113).</w:t>
      </w:r>
    </w:p>
    <w:p>
      <w:pPr>
        <w:numPr>
          <w:ilvl w:val="0"/>
          <w:numId w:val="1006"/>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93"/>
    <w:bookmarkStart w:id="94"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hoạt động kinh doanh của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94"/>
    <w:bookmarkStart w:id="95" w:name="Xd4c164ee6604550537899b3ed376afa74960928"/>
    <w:p>
      <w:pPr>
        <w:pStyle w:val="Heading3"/>
      </w:pPr>
      <w:r>
        <w:t xml:space="preserve">3.2.4 Công cụ trích xuất dữ liệu và công bố sử dụng trí tuệ nhân tạo</w:t>
      </w:r>
    </w:p>
    <w:p>
      <w:pPr>
        <w:pStyle w:val="FirstParagraph"/>
      </w:pPr>
      <w:r>
        <w:t xml:space="preserve">Việc trích xuất cỡ ảnh hưởng từ K=288 ước lượng (k=238 nghiên cứu) được thực hiện bằng phần mềm chuyên dụng</w:t>
      </w:r>
      <w:r>
        <w:t xml:space="preserve"> </w:t>
      </w:r>
      <w:r>
        <w:rPr>
          <w:bCs/>
          <w:b/>
        </w:rPr>
        <w:t xml:space="preserve">M-AIDA</w:t>
      </w:r>
      <w:r>
        <w:t xml:space="preserve"> </w:t>
      </w:r>
      <w:r>
        <w:t xml:space="preserve">(Meta-Analysis Intelligent Data Assistant, phiên bản 7.0) do chính nghiên cứu sinh phát triển và đã nộp hồ sơ đăng ký quyền tác giả. M-AIDA dùng mô hình ngôn ngữ lớn (large language model, LLM) để đọc và trích các thống kê gốc (cỡ mẫu</w:t>
      </w:r>
      <w:r>
        <w:t xml:space="preserve"> </w:t>
      </w:r>
      <m:oMath>
        <m:r>
          <m:t>N</m:t>
        </m:r>
      </m:oMath>
      <w:r>
        <w:t xml:space="preserve">, hệ số tương quan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 khoảng tin cậy) từ bản PDF của từng nghiên cứu, kèm điểm tin cậy trích xuất (extraction confidence) ba mức — 1,0 khi lấy trực tiếp</w:t>
      </w:r>
      <w:r>
        <w:t xml:space="preserve"> </w:t>
      </w:r>
      <m:oMath>
        <m:r>
          <m:t>r</m:t>
        </m:r>
      </m:oMath>
      <w:r>
        <w:t xml:space="preserve">; 0,8 khi suy từ</w:t>
      </w:r>
      <w:r>
        <w:t xml:space="preserve"> </w:t>
      </w:r>
      <m:oMath>
        <m:r>
          <m:t>t</m:t>
        </m:r>
      </m:oMath>
      <w:r>
        <w:t xml:space="preserve">; 0,6 khi suy từ</w:t>
      </w:r>
      <w:r>
        <w:t xml:space="preserve"> </w:t>
      </w:r>
      <m:oMath>
        <m:r>
          <m:t>β</m:t>
        </m:r>
      </m:oMath>
      <w:r>
        <w:t xml:space="preserve"> </w:t>
      </w:r>
      <w:r>
        <w:t xml:space="preserve">theo Peterson và Brown (2005) — và tự động gắn cờ cần xác minh đối với mọi bản ghi có độ tin cậy dưới 0,7.</w:t>
      </w:r>
    </w:p>
    <w:p>
      <w:pPr>
        <w:pStyle w:val="BodyText"/>
      </w:pPr>
      <w:r>
        <w:t xml:space="preserve">Để bảo đảm liêm chính và khả năng tái lập, luận án áp dụng nguyên tắc</w:t>
      </w:r>
      <w:r>
        <w:t xml:space="preserve"> </w:t>
      </w:r>
      <w:r>
        <w:rPr>
          <w:bCs/>
          <w:b/>
        </w:rPr>
        <w:t xml:space="preserve">con người trong vòng lặp (human-in-the-loop) với kiểm chứng toàn bộ (100%) bởi nghiên cứu sinh</w:t>
      </w:r>
      <w:r>
        <w:t xml:space="preserve"> </w:t>
      </w:r>
      <w:r>
        <w:t xml:space="preserve">trong vai trò chủ trì nghiên cứu (Principal Investigator): (i) LLM</w:t>
      </w:r>
      <w:r>
        <w:t xml:space="preserve"> </w:t>
      </w:r>
      <w:r>
        <w:rPr>
          <w:bCs/>
          <w:b/>
        </w:rPr>
        <w:t xml:space="preserve">chỉ</w:t>
      </w:r>
      <w:r>
        <w:t xml:space="preserve"> </w:t>
      </w:r>
      <w:r>
        <w:t xml:space="preserve">trích xuất thống kê và</w:t>
      </w:r>
      <w:r>
        <w:t xml:space="preserve"> </w:t>
      </w:r>
      <w:r>
        <w:rPr>
          <w:bCs/>
          <w:b/>
        </w:rPr>
        <w:t xml:space="preserve">không</w:t>
      </w:r>
      <w:r>
        <w:t xml:space="preserve"> </w:t>
      </w:r>
      <w:r>
        <w:t xml:space="preserve">suy đoán các biến điều tiết thể chế — các nhãn chế độ ICRV, pha DPL và chỉ số cDAI do nghiên cứu sinh gán thủ công từ bảng tra cứu ngoài (WGI Rule of Law, năm dữ liệu trung vị, Digital Adoption Index), bảo đảm tính kiểm chứng độc lập; (ii) mỗi bản ghi phải được nghiên cứu sinh phê duyệt — với quyền ghi đè bất kỳ trường nào — trước khi được</w:t>
      </w:r>
      <w:r>
        <w:t xml:space="preserve"> </w:t>
      </w:r>
      <w:r>
        <w:rPr>
          <w:bCs/>
          <w:b/>
        </w:rPr>
        <w:t xml:space="preserve">khóa bất biến (irreversible data lock)</w:t>
      </w:r>
      <w:r>
        <w:t xml:space="preserve"> </w:t>
      </w:r>
      <w:r>
        <w:t xml:space="preserve">kèm dấu thời gian; (iii) chỉ các bản ghi đã khóa mới được đưa vào tập phân tích tổng hợp. Cơ chế hai bước phê duyệt–khóa tạo dấu vết kiểm toán (audit trail) phân tách rạch ròi phần do máy trích xuất và phần do con người quyết định, phù hợp với chuẩn mực công bố sử dụng trí tuệ nhân tạo ngày càng được các tạp chí học thuật yêu cầu. Kiến trúc, quy trình trích xuất–chuyển đổi cỡ ảnh hưởng và cơ chế quản trị dữ liệu của M-AIDA được trình bày chi tiết ở</w:t>
      </w:r>
      <w:r>
        <w:t xml:space="preserve"> </w:t>
      </w:r>
      <w:r>
        <w:rPr>
          <w:bCs/>
          <w:b/>
        </w:rPr>
        <w:t xml:space="preserve">Phụ lục B</w:t>
      </w:r>
      <w:r>
        <w:t xml:space="preserve">.</w:t>
      </w:r>
    </w:p>
    <w:bookmarkEnd w:id="95"/>
    <w:bookmarkEnd w:id="96"/>
    <w:bookmarkStart w:id="113" w:name="X2f2dc61cf51b22160123af8668c978f8ce43175"/>
    <w:p>
      <w:pPr>
        <w:pStyle w:val="Heading2"/>
      </w:pPr>
      <w:r>
        <w:t xml:space="preserve">3.3 Giai đoạn 2: Phân tích thực nghiệm đa quốc gia</w:t>
      </w:r>
    </w:p>
    <w:bookmarkStart w:id="97"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2006–2026</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97"/>
    <w:bookmarkStart w:id="98"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phân hệ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mô hình để bảo đảm kết quả không bị chi phối bởi cơ chế khuyết. Toàn bộ thao tác chi tiết của quy trình sáu bước, cùng dòng dữ liệu kiểu PRISMA và mã tái lập, được trình bày đầy đủ ở Phụ lục A.</w:t>
      </w:r>
    </w:p>
    <w:bookmarkEnd w:id="98"/>
    <w:bookmarkStart w:id="99"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w:t>
      </w:r>
      <w:r>
        <w:t xml:space="preserve"> </w:t>
      </w:r>
      <m:oMath>
        <m:r>
          <m:rPr>
            <m:sty m:val="p"/>
          </m:rPr>
          <m:t>L</m:t>
        </m:r>
        <m:r>
          <m:rPr>
            <m:sty m:val="p"/>
          </m:rPr>
          <m:t>P</m:t>
        </m:r>
      </m:oMath>
      <w:r>
        <w:t xml:space="preserve"> </w:t>
      </w:r>
      <w:r>
        <w:t xml:space="preserve">(labour productivity), đo bằng</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trong đó</w:t>
      </w:r>
      <w:r>
        <w:t xml:space="preserve"> </w:t>
      </w:r>
      <m:oMath>
        <m:r>
          <m:t>d</m:t>
        </m:r>
        <m:r>
          <m:t>2</m:t>
        </m:r>
      </m:oMath>
      <w:r>
        <w:t xml:space="preserve"> </w:t>
      </w:r>
      <w:r>
        <w:t xml:space="preserve">là tổng doanh thu năm tài chính gần nhất và</w:t>
      </w:r>
      <w:r>
        <w:t xml:space="preserve"> </w:t>
      </w:r>
      <m:oMath>
        <m:r>
          <m:t>l</m:t>
        </m:r>
        <m:r>
          <m:t>1</m:t>
        </m:r>
      </m:oMath>
      <w:r>
        <w:t xml:space="preserve"> </w:t>
      </w:r>
      <w:r>
        <w:t xml:space="preserve">là số lao động thường xuyên toàn thời gian (mã trường WBES).</w:t>
      </w:r>
    </w:p>
    <w:p>
      <w:pPr>
        <w:pStyle w:val="BodyText"/>
      </w:pPr>
      <w:r>
        <w:rPr>
          <w:bCs/>
          <w:b/>
        </w:rPr>
        <w:t xml:space="preserve">Cơ sở kế thừa</w:t>
      </w:r>
      <w:r>
        <w:t xml:space="preserve">: năng suất lao động được sử dụng rộng rãi trong nghiên cứu WBES và trong tài liệu về năng suất doanh nghiệp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báo cáo tài chính đầy đủ, nên năng suất lao động phù hợp hơn các tỷ suất sinh lời kế toán (ROA, ROE, 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sty m:val="p"/>
              </m:rPr>
              <m:t>L</m:t>
            </m:r>
            <m:r>
              <m:rPr>
                <m:sty m:val="p"/>
              </m:rPr>
              <m:t>P</m:t>
            </m:r>
          </m:e>
        </m:d>
      </m:oMath>
      <w:r>
        <w:t xml:space="preserve"> </w:t>
      </w:r>
      <w:r>
        <w:t xml:space="preserve">từ trường WBES</w:t>
      </w:r>
      <w:r>
        <w:t xml:space="preserve"> </w:t>
      </w:r>
      <m:oMath>
        <m:r>
          <m:t>d</m:t>
        </m:r>
        <m:r>
          <m:t>2</m:t>
        </m:r>
        <m:r>
          <m:rPr>
            <m:sty m:val="p"/>
          </m:rPr>
          <m:t>/</m:t>
        </m:r>
        <m:r>
          <m:t>l</m:t>
        </m:r>
        <m:r>
          <m:t>1</m:t>
        </m:r>
      </m:oMath>
      <w:r>
        <w:t xml:space="preserve"> </w:t>
      </w:r>
      <w:r>
        <w:t xml:space="preserve">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hiệu ứng cố định năm (P5:</w:t>
      </w:r>
      <w:r>
        <w:t xml:space="preserve"> </w:t>
      </w:r>
      <m:oMath>
        <m:sSub>
          <m:e>
            <m:r>
              <m:t>D</m:t>
            </m:r>
          </m:e>
          <m:sub>
            <m:r>
              <m:t>2024</m:t>
            </m:r>
          </m:sub>
        </m:sSub>
      </m:oMath>
      <w:r>
        <w:t xml:space="preserve">; P3 bổ sung hiệu chỉnh PPP cho khoảng cách 14 năm 2009–2023), kèm cắt đuôi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w:t>
      </w:r>
      <w:r>
        <w:t xml:space="preserve"> </w:t>
      </w:r>
      <m:oMath>
        <m:r>
          <m:rPr>
            <m:sty m:val="p"/>
          </m:rPr>
          <m:t>F</m:t>
        </m:r>
        <m:r>
          <m:rPr>
            <m:sty m:val="p"/>
          </m:rPr>
          <m:t>S</m:t>
        </m:r>
        <m:r>
          <m:rPr>
            <m:sty m:val="p"/>
          </m:rPr>
          <m:t>T</m:t>
        </m:r>
        <m:r>
          <m:rPr>
            <m:sty m:val="p"/>
          </m:rPr>
          <m:t>S</m:t>
        </m:r>
      </m:oMath>
      <w:r>
        <w:t xml:space="preserve"> </w:t>
      </w:r>
      <w:r>
        <w:t xml:space="preserve">bằng</w:t>
      </w:r>
      <w:r>
        <w:t xml:space="preserve"> </w:t>
      </w:r>
      <w:r>
        <w:rPr>
          <w:bCs/>
          <w:b/>
        </w:rPr>
        <w:t xml:space="preserve">tổng xuất khẩu trực tiếp và gián tiếp</w:t>
      </w:r>
      <w:r>
        <w:t xml:space="preserve"> </w:t>
      </w:r>
      <w:r>
        <w:t xml:space="preserve">(trường WBES</w:t>
      </w:r>
      <w:r>
        <w:t xml:space="preserve"> </w:t>
      </w:r>
      <m:oMath>
        <m:r>
          <m:t>d</m:t>
        </m:r>
        <m:r>
          <m:t>3</m:t>
        </m:r>
        <m:r>
          <m:t>b</m:t>
        </m:r>
        <m:r>
          <m:rPr>
            <m:sty m:val="p"/>
          </m:rPr>
          <m:t>+</m:t>
        </m:r>
        <m:r>
          <m:t>d</m:t>
        </m:r>
        <m:r>
          <m:t>3</m:t>
        </m:r>
        <m:r>
          <m:t>c</m:t>
        </m:r>
      </m:oMath>
      <w:r>
        <w:t xml:space="preserve">),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w:t>
      </w:r>
      <m:oMath>
        <m:r>
          <m:t>d</m:t>
        </m:r>
        <m:r>
          <m:t>3</m:t>
        </m:r>
        <m:r>
          <m:t>c</m:t>
        </m:r>
      </m:oMath>
      <w:r>
        <w:t xml:space="preserve">),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tỷ suất lợi nhuận trên doanh thu (</w:t>
      </w:r>
      <m:oMath>
        <m:r>
          <m:rPr>
            <m:sty m:val="p"/>
          </m:rPr>
          <m:t>R</m:t>
        </m:r>
        <m:r>
          <m:rPr>
            <m:sty m:val="p"/>
          </m:rPr>
          <m:t>O</m:t>
        </m:r>
        <m:r>
          <m:rPr>
            <m:sty m:val="p"/>
          </m:rPr>
          <m:t>S</m:t>
        </m:r>
      </m:oMath>
      <w:r>
        <w:t xml:space="preserve">), tăng trưởng doanh thu, tăng trưởng lao động, và logarit doanh thu năm</w:t>
      </w:r>
      <w:r>
        <w:t xml:space="preserve"> </w:t>
      </w:r>
      <m:oMath>
        <m:r>
          <m:rPr>
            <m:sty m:val="p"/>
          </m:rPr>
          <m:t>ln</m:t>
        </m:r>
        <m:d>
          <m:dPr>
            <m:begChr m:val="("/>
            <m:endChr m:val=")"/>
            <m:sepChr m:val=""/>
            <m:grow/>
          </m:dPr>
          <m:e>
            <m:r>
              <m:t>d</m:t>
            </m:r>
            <m:r>
              <m:t>2</m:t>
            </m:r>
          </m:e>
        </m:d>
      </m:oMath>
      <w:r>
        <w:t xml:space="preserve">.</w:t>
      </w:r>
    </w:p>
    <w:p>
      <w:pPr>
        <w:pStyle w:val="BodyText"/>
      </w:pPr>
      <w:r>
        <w:rPr>
          <w:bCs/>
          <w:b/>
        </w:rPr>
        <w:t xml:space="preserve">Đóng góp mới</w:t>
      </w:r>
      <w:r>
        <w:t xml:space="preserve">: lập luận rõ ràng về hiệu quả hoạt động kinh doanh của doanh nghiệp là khái niệm đa chiều và việc lựa chọn thước đo phải phù hợp với bối cảnh dữ liệu (xem Chương 2).</w:t>
      </w:r>
    </w:p>
    <w:bookmarkEnd w:id="99"/>
    <w:bookmarkStart w:id="100"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100"/>
    <w:bookmarkStart w:id="101" w:name="đo-lường-biến-độc-lập-mức-độ-quốc-tế-hóa"/>
    <w:p>
      <w:pPr>
        <w:pStyle w:val="Heading3"/>
      </w:pPr>
      <w:r>
        <w:t xml:space="preserve">3.3.3 Đo lường biến độc lập: Mức độ quốc tế hóa</w:t>
      </w:r>
    </w:p>
    <w:p>
      <w:pPr>
        <w:pStyle w:val="FirstParagraph"/>
      </w:pPr>
      <w:r>
        <w:rPr>
          <w:bCs/>
          <w:b/>
        </w:rPr>
        <w:t xml:space="preserve">Khái niệm.</w:t>
      </w:r>
      <w:r>
        <w:t xml:space="preserve"> </w:t>
      </w:r>
      <w:r>
        <w:t xml:space="preserve">Biến độc lập trọng tâm của luận án là</w:t>
      </w:r>
      <w:r>
        <w:t xml:space="preserve"> </w:t>
      </w:r>
      <w:r>
        <w:rPr>
          <w:iCs/>
          <w:i/>
        </w:rPr>
        <w:t xml:space="preserve">mức độ quốc tế hóa</w:t>
      </w:r>
      <w:r>
        <w:t xml:space="preserve"> </w:t>
      </w:r>
      <w:r>
        <w:t xml:space="preserve">(degree of internationalization, DOI) — phạm vi mà doanh nghiệp gắn hoạt động của mình với thị trường nước ngoài. Theo Sullivan (1994), mức độ quốc tế hóa là khái niệm đa chiều gồm ba thành phần: chiều theo doanh số (tỷ trọng doanh thu nước ngoài), chiều theo tài sản (tỷ trọng tài sản đặt ở nước ngoài) và chiều theo nhân sự, tâm lý (mức độ phân tán quốc tế của nhân lực và định hướng quản trị). Bộ dữ liệu WBES chỉ thu thập nhất quán</w:t>
      </w:r>
      <w:r>
        <w:t xml:space="preserve"> </w:t>
      </w:r>
      <w:r>
        <w:rPr>
          <w:bCs/>
          <w:b/>
        </w:rPr>
        <w:t xml:space="preserve">chiều theo doanh số</w:t>
      </w:r>
      <w:r>
        <w:t xml:space="preserve"> </w:t>
      </w:r>
      <w:r>
        <w:t xml:space="preserve">xuyên ba thế hệ bảng hỏi, nên luận án thao tác hóa mức độ quốc tế hóa bằng</w:t>
      </w:r>
      <w:r>
        <w:t xml:space="preserve"> </w:t>
      </w:r>
      <w:r>
        <w:rPr>
          <w:iCs/>
          <w:i/>
        </w:rPr>
        <w:t xml:space="preserve">cường độ xuất khẩu</w:t>
      </w:r>
      <w:r>
        <w:t xml:space="preserve"> </w:t>
      </w:r>
      <m:oMath>
        <m:r>
          <m:rPr>
            <m:sty m:val="p"/>
          </m:rPr>
          <m:t>F</m:t>
        </m:r>
        <m:r>
          <m:rPr>
            <m:sty m:val="p"/>
          </m:rPr>
          <m:t>S</m:t>
        </m:r>
        <m:r>
          <m:rPr>
            <m:sty m:val="p"/>
          </m:rPr>
          <m:t>T</m:t>
        </m:r>
        <m:r>
          <m:rPr>
            <m:sty m:val="p"/>
          </m:rPr>
          <m:t>S</m:t>
        </m:r>
      </m:oMath>
      <w:r>
        <w:t xml:space="preserve"> </w:t>
      </w:r>
      <w:r>
        <w:t xml:space="preserve">(foreign sales to total sales) — tỷ trọng doanh thu xuất khẩu trên tổng doanh thu, miền giá trị</w:t>
      </w:r>
      <w:r>
        <w:t xml:space="preserve"> </w:t>
      </w:r>
      <m:oMath>
        <m:d>
          <m:dPr>
            <m:begChr m:val="["/>
            <m:endChr m:val="]"/>
            <m:sepChr m:val=""/>
            <m:grow/>
          </m:dPr>
          <m:e>
            <m:r>
              <m:t>0</m:t>
            </m:r>
            <m:r>
              <m:rPr>
                <m:sty m:val="p"/>
              </m:rPr>
              <m:t>,</m:t>
            </m:r>
            <m:r>
              <m:t>1</m:t>
            </m:r>
          </m:e>
        </m:d>
      </m:oMath>
      <w:r>
        <w:t xml:space="preserve">.</w:t>
      </w:r>
    </w:p>
    <w:p>
      <w:pPr>
        <w:pStyle w:val="BodyText"/>
      </w:pPr>
      <w:r>
        <w:rPr>
          <w:bCs/>
          <w:b/>
        </w:rPr>
        <w:t xml:space="preserve">Biến chính.</w:t>
      </w:r>
      <w:r>
        <w:t xml:space="preserve"> </w:t>
      </w:r>
      <m:oMath>
        <m:r>
          <m:rPr>
            <m:sty m:val="p"/>
          </m:rPr>
          <m:t>F</m:t>
        </m:r>
        <m:r>
          <m:rPr>
            <m:sty m:val="p"/>
          </m:rPr>
          <m:t>S</m:t>
        </m:r>
        <m:r>
          <m:rPr>
            <m:sty m:val="p"/>
          </m:rPr>
          <m:t>T</m:t>
        </m:r>
        <m:r>
          <m:rPr>
            <m:sty m:val="p"/>
          </m:rPr>
          <m:t>S</m:t>
        </m:r>
      </m:oMath>
      <w:r>
        <w:t xml:space="preserve"> </w:t>
      </w:r>
      <w:r>
        <w:t xml:space="preserve">là tỷ lệ doanh thu xuất khẩu trên tổng doanh thu. Mô hình đưa vào đồng thời số hạng bậc nhất</w:t>
      </w:r>
      <w:r>
        <w:t xml:space="preserve"> </w:t>
      </w:r>
      <m:oMath>
        <m:r>
          <m:rPr>
            <m:sty m:val="p"/>
          </m:rPr>
          <m:t>F</m:t>
        </m:r>
        <m:r>
          <m:rPr>
            <m:sty m:val="p"/>
          </m:rPr>
          <m:t>S</m:t>
        </m:r>
        <m:r>
          <m:rPr>
            <m:sty m:val="p"/>
          </m:rPr>
          <m:t>T</m:t>
        </m:r>
        <m:r>
          <m:rPr>
            <m:sty m:val="p"/>
          </m:rPr>
          <m:t>S</m:t>
        </m:r>
      </m:oMath>
      <w:r>
        <w:t xml:space="preserve"> </w:t>
      </w:r>
      <w:r>
        <w:t xml:space="preserve">và số hạng bậc hai</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w:t>
      </w:r>
      <w:r>
        <w:t xml:space="preserve"> </w:t>
      </w:r>
      <m:oMath>
        <m:r>
          <m:rPr>
            <m:sty m:val="p"/>
          </m:rPr>
          <m:t>F</m:t>
        </m:r>
        <m:r>
          <m:rPr>
            <m:sty m:val="p"/>
          </m:rPr>
          <m:t>S</m:t>
        </m:r>
        <m:r>
          <m:rPr>
            <m:sty m:val="p"/>
          </m:rPr>
          <m:t>T</m:t>
        </m:r>
        <m:r>
          <m:rPr>
            <m:sty m:val="p"/>
          </m:rPr>
          <m:t>S</m:t>
        </m:r>
      </m:oMath>
      <w:r>
        <w:t xml:space="preserve"> </w:t>
      </w:r>
      <w:r>
        <w:t xml:space="preserve">là thước đo đơn chiều của mức độ quốc tế hóa được dùng phổ biến nhất trong tài liệu về quan hệ quốc tế hóa và hiệu quả khi dữ liệu chiều tài sản và chiều nhân sự quốc tế không khả dụng (Sullivan, 1994; Lu &amp; Beamish, 2001; Hitt et al., 2006). Việc bổ sung</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w:t>
      </w:r>
      <w:r>
        <w:t xml:space="preserve"> </w:t>
      </w:r>
      <m:oMath>
        <m:r>
          <m:rPr>
            <m:sty m:val="p"/>
          </m:rPr>
          <m:t>F</m:t>
        </m:r>
        <m:r>
          <m:rPr>
            <m:sty m:val="p"/>
          </m:rPr>
          <m:t>S</m:t>
        </m:r>
        <m:r>
          <m:rPr>
            <m:sty m:val="p"/>
          </m:rPr>
          <m:t>T</m:t>
        </m:r>
        <m:r>
          <m:rPr>
            <m:sty m:val="p"/>
          </m:rPr>
          <m:t>S</m:t>
        </m:r>
      </m:oMath>
      <w:r>
        <w:t xml:space="preserve">, làm cơ sở cho việc kiểm định mở rộng trong luận án. Giới hạn đo lường đơn chiều này (chỉ chiều doanh số) được nêu minh bạch như một hạn chế nghiên cứu ở Chương 5.</w:t>
      </w:r>
    </w:p>
    <w:bookmarkEnd w:id="101"/>
    <w:bookmarkStart w:id="102"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102"/>
    <w:bookmarkStart w:id="103" w:name="X454cd0efaa6c7f71cd04aad60b675e2b8b0384f"/>
    <w:p>
      <w:pPr>
        <w:pStyle w:val="Heading3"/>
      </w:pPr>
      <w:r>
        <w:t xml:space="preserve">3.3.3.2 Vận hành hóa chi tiết cường độ xuất khẩu xuyên các nghiên cứu thành phần</w:t>
      </w:r>
    </w:p>
    <w:p>
      <w:pPr>
        <w:pStyle w:val="FirstParagraph"/>
      </w:pPr>
      <w:r>
        <w:t xml:space="preserve">Sự thống nhất khái niệm của cường độ xuất khẩu xuyên các nghiên cứu thành phần không kéo theo một định nghĩa thao tác duy nhất, mà là một họ định nghĩa được hiệu chỉnh theo bản chất bộ công cụ của từng đợt và theo câu hỏi nghiên cứu. Khung đa quốc gia cộng gộp xuất khẩu trực tiếp và gián tiếp rồi chia cho một trăm để đưa về tỷ trọng, cụ thể</w:t>
      </w:r>
      <w:r>
        <w:t xml:space="preserve"> </w:t>
      </w:r>
      <m:oMath>
        <m:r>
          <m:rPr>
            <m:sty m:val="p"/>
          </m:rPr>
          <m:t>F</m:t>
        </m:r>
        <m:r>
          <m:rPr>
            <m:sty m:val="p"/>
          </m:rPr>
          <m:t>S</m:t>
        </m:r>
        <m:r>
          <m:rPr>
            <m:sty m:val="p"/>
          </m:rPr>
          <m:t>T</m:t>
        </m:r>
        <m:r>
          <m:rPr>
            <m:sty m:val="p"/>
          </m:rP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rPr>
            <m:sty m:val="p"/>
          </m:rPr>
          <m:t>T</m:t>
        </m:r>
        <m:r>
          <m:rPr>
            <m:sty m:val="p"/>
          </m:rP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rPr>
                <m:sty m:val="p"/>
              </m:rPr>
              <m:t>F</m:t>
            </m:r>
            <m:r>
              <m:rPr>
                <m:sty m:val="p"/>
              </m:rPr>
              <m:t>S</m:t>
            </m:r>
            <m:r>
              <m:rPr>
                <m:sty m:val="p"/>
              </m:rPr>
              <m:t>T</m:t>
            </m:r>
            <m:r>
              <m:rPr>
                <m:sty m:val="p"/>
              </m:rPr>
              <m:t>S</m:t>
            </m:r>
          </m:e>
        </m:bar>
      </m:oMath>
      <w:r>
        <w:t xml:space="preserve">.</w:t>
      </w:r>
    </w:p>
    <w:bookmarkEnd w:id="103"/>
    <w:bookmarkStart w:id="107" w:name="đo-lường-biến-điều-tiết"/>
    <w:p>
      <w:pPr>
        <w:pStyle w:val="Heading3"/>
      </w:pPr>
      <w:r>
        <w:t xml:space="preserve">3.3.4 Đo lường biến điều tiết</w:t>
      </w:r>
    </w:p>
    <w:bookmarkStart w:id="104" w:name="X7d9ea5c42a421e85a30418a1ef2a1fc5a79d461"/>
    <w:p>
      <w:pPr>
        <w:pStyle w:val="Heading4"/>
      </w:pPr>
      <w:r>
        <w:t xml:space="preserve">Các cấu trúc số: năng lực công nghệ (TCI) và chấp nhận số (DAI)</w:t>
      </w:r>
    </w:p>
    <w:p>
      <w:pPr>
        <w:pStyle w:val="FirstParagraph"/>
      </w:pPr>
      <w:r>
        <w:t xml:space="preserve">Luận án phân biệt rõ hai cấu trúc:</w:t>
      </w:r>
    </w:p>
    <w:p>
      <w:pPr>
        <w:numPr>
          <w:ilvl w:val="0"/>
          <w:numId w:val="1007"/>
        </w:numPr>
        <w:pStyle w:val="Compact"/>
      </w:pPr>
      <w:r>
        <w:rPr>
          <w:bCs/>
          <w:b/>
        </w:rPr>
        <w:t xml:space="preserve">Chỉ số năng lực công nghệ</w:t>
      </w:r>
      <w:r>
        <w:t xml:space="preserve"> </w:t>
      </w:r>
      <w:r>
        <w:t xml:space="preserve">(technological capability index,</w:t>
      </w:r>
      <w:r>
        <w:t xml:space="preserve"> </w:t>
      </w:r>
      <m:oMath>
        <m:r>
          <m:rPr>
            <m:sty m:val="p"/>
          </m:rPr>
          <m:t>T</m:t>
        </m:r>
        <m:r>
          <m:rPr>
            <m:sty m:val="p"/>
          </m:rPr>
          <m:t>C</m:t>
        </m:r>
        <m:r>
          <m:rPr>
            <m:sty m:val="p"/>
          </m:rPr>
          <m:t>I</m:t>
        </m:r>
      </m:oMath>
      <w:r>
        <w:t xml:space="preserve">): chiều sâu năng lực công nghệ, tổng hợp từ cấp phép công nghệ nước ngoài, chi tiêu nghiên cứu và phát triển, đổi mới sản phẩm, và chứng nhận chất lượng.</w:t>
      </w:r>
    </w:p>
    <w:p>
      <w:pPr>
        <w:numPr>
          <w:ilvl w:val="0"/>
          <w:numId w:val="1007"/>
        </w:numPr>
        <w:pStyle w:val="Compact"/>
      </w:pPr>
      <w:r>
        <w:rPr>
          <w:bCs/>
          <w:b/>
        </w:rPr>
        <w:t xml:space="preserve">Chỉ số chấp nhận số</w:t>
      </w:r>
      <w:r>
        <w:t xml:space="preserve"> </w:t>
      </w:r>
      <w:r>
        <w:t xml:space="preserve">(digital adoption index,</w:t>
      </w:r>
      <w:r>
        <w:t xml:space="preserve"> </w:t>
      </w:r>
      <m:oMath>
        <m:r>
          <m:rPr>
            <m:sty m:val="p"/>
          </m:rPr>
          <m:t>D</m:t>
        </m:r>
        <m:r>
          <m:rPr>
            <m:sty m:val="p"/>
          </m:rPr>
          <m:t>A</m:t>
        </m:r>
        <m:r>
          <m:rPr>
            <m:sty m:val="p"/>
          </m:rPr>
          <m:t>I</m:t>
        </m:r>
      </m:oMath>
      <w:r>
        <w:t xml:space="preserve">): mức độ chấp nhận số bề mặt, tổng hợp từ website, thư điện tử, bán hàng trực tuyến (</w:t>
      </w:r>
      <m:oMath>
        <m:sSub>
          <m:e>
            <m:r>
              <m:rPr>
                <m:sty m:val="p"/>
              </m:rPr>
              <m:t>D</m:t>
            </m:r>
            <m:r>
              <m:rPr>
                <m:sty m:val="p"/>
              </m:rPr>
              <m:t>A</m:t>
            </m:r>
            <m:r>
              <m:rPr>
                <m:sty m:val="p"/>
              </m:rPr>
              <m:t>I</m:t>
            </m:r>
          </m:e>
          <m:sub>
            <m:r>
              <m:rPr>
                <m:nor/>
                <m:sty m:val="p"/>
              </m:rPr>
              <m:t>thin</m:t>
            </m:r>
          </m:sub>
        </m:sSub>
      </m:oMath>
      <w:r>
        <w:t xml:space="preserve">) hoặc bổ sung thanh toán điện tử và nhà cung cấp điện tử (</w:t>
      </w:r>
      <m:oMath>
        <m:sSub>
          <m:e>
            <m:r>
              <m:rPr>
                <m:sty m:val="p"/>
              </m:rPr>
              <m:t>D</m:t>
            </m:r>
            <m:r>
              <m:rPr>
                <m:sty m:val="p"/>
              </m:rPr>
              <m:t>A</m:t>
            </m:r>
            <m:r>
              <m:rPr>
                <m:sty m:val="p"/>
              </m:rPr>
              <m:t>I</m:t>
            </m:r>
          </m:e>
          <m:sub>
            <m:r>
              <m:rPr>
                <m:nor/>
                <m:sty m:val="p"/>
              </m:rPr>
              <m:t>rich</m:t>
            </m:r>
          </m:sub>
        </m:sSub>
      </m:oMath>
      <w:r>
        <w:t xml:space="preserve">).</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8"/>
        </w:numPr>
        <w:pStyle w:val="Compact"/>
      </w:pPr>
      <m:oMath>
        <m:sSub>
          <m:e>
            <m:r>
              <m:rPr>
                <m:sty m:val="p"/>
              </m:rPr>
              <m:t>T</m:t>
            </m:r>
            <m:r>
              <m:rPr>
                <m:sty m:val="p"/>
              </m:rPr>
              <m:t>C</m:t>
            </m:r>
            <m:r>
              <m:rPr>
                <m:sty m:val="p"/>
              </m:rPr>
              <m:t>I</m:t>
            </m:r>
          </m:e>
          <m:sub>
            <m:r>
              <m:rPr>
                <m:nor/>
                <m:sty m:val="p"/>
              </m:rPr>
              <m:t>thin</m:t>
            </m:r>
          </m:sub>
        </m:sSub>
      </m:oMath>
      <w:r>
        <w:t xml:space="preserve"> </w:t>
      </w:r>
      <w:r>
        <w:t xml:space="preserve">= chuẩn hóa z của trung bình hai mục cốt lõi: chứng chỉ chất lượng quốc tế (</w:t>
      </w:r>
      <w:r>
        <w:rPr>
          <w:rStyle w:val="VerbatimChar"/>
        </w:rPr>
        <w:t xml:space="preserve">b8</w:t>
      </w:r>
      <w:r>
        <w:t xml:space="preserve">) và cấp phép công nghệ nước ngoài (</w:t>
      </w:r>
      <w:r>
        <w:rPr>
          <w:rStyle w:val="VerbatimChar"/>
        </w:rPr>
        <w:t xml:space="preserve">e6</w:t>
      </w:r>
      <w:r>
        <w:t xml:space="preserve">). Dùng trong các nghiên cứu Việt Nam (P3), Singapore (P4), đa quốc gia (P7) và đảo nhỏ Thái Bình Dương (P8).</w:t>
      </w:r>
    </w:p>
    <w:p>
      <w:pPr>
        <w:numPr>
          <w:ilvl w:val="0"/>
          <w:numId w:val="1008"/>
        </w:numPr>
        <w:pStyle w:val="Compact"/>
      </w:pPr>
      <m:oMath>
        <m:sSub>
          <m:e>
            <m:r>
              <m:rPr>
                <m:sty m:val="p"/>
              </m:rPr>
              <m:t>T</m:t>
            </m:r>
            <m:r>
              <m:rPr>
                <m:sty m:val="p"/>
              </m:rPr>
              <m:t>C</m:t>
            </m:r>
            <m:r>
              <m:rPr>
                <m:sty m:val="p"/>
              </m:rPr>
              <m:t>I</m:t>
            </m:r>
          </m:e>
          <m:sub>
            <m:r>
              <m:rPr>
                <m:nor/>
                <m:sty m:val="p"/>
              </m:rPr>
              <m:t>full</m:t>
            </m:r>
          </m:sub>
        </m:sSub>
      </m:oMath>
      <w:r>
        <w:t xml:space="preserve"> </w:t>
      </w:r>
      <w:r>
        <w:t xml:space="preserve">= chuẩn hóa z của trung bình bốn mục:</w:t>
      </w:r>
      <w:r>
        <w:t xml:space="preserve"> </w:t>
      </w:r>
      <w:r>
        <w:rPr>
          <w:rStyle w:val="VerbatimChar"/>
        </w:rPr>
        <w:t xml:space="preserve">b8</w:t>
      </w:r>
      <w:r>
        <w:t xml:space="preserve">,</w:t>
      </w:r>
      <w:r>
        <w:t xml:space="preserve"> </w:t>
      </w:r>
      <w:r>
        <w:rPr>
          <w:rStyle w:val="VerbatimChar"/>
        </w:rPr>
        <w:t xml:space="preserve">e6</w:t>
      </w:r>
      <w:r>
        <w:t xml:space="preserve">, đổi mới sản phẩm (</w:t>
      </w:r>
      <w:r>
        <w:rPr>
          <w:rStyle w:val="VerbatimChar"/>
        </w:rPr>
        <w:t xml:space="preserve">h1</w:t>
      </w:r>
      <w:r>
        <w:t xml:space="preserve">), và chi nghiên cứu–phát triển (</w:t>
      </w:r>
      <w:r>
        <w:rPr>
          <w:rStyle w:val="VerbatimChar"/>
        </w:rPr>
        <w:t xml:space="preserve">h8</w:t>
      </w:r>
      <w:r>
        <w:t xml:space="preserve">). Dùng trong nghiên cứu Trung Quốc (P5), nơi cả hai sóng 2012 và 2024 đều có đủ phân hệ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50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hấp thụ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104"/>
    <w:bookmarkStart w:id="105" w:name="biến-thể-chế"/>
    <w:p>
      <w:pPr>
        <w:pStyle w:val="Heading4"/>
      </w:pPr>
      <w:r>
        <w:t xml:space="preserve">Biến thể chế</w:t>
      </w:r>
    </w:p>
    <w:p>
      <w:pPr>
        <w:pStyle w:val="FirstParagraph"/>
      </w:pPr>
      <w:r>
        <w:rPr>
          <w:bCs/>
          <w:b/>
        </w:rPr>
        <w:t xml:space="preserve">Biến chính</w:t>
      </w:r>
      <w:r>
        <w:t xml:space="preserve">: chỉ số rào cản kinh doanh (business obstacle index, tổng hợp từ các câu hỏi WBES về rào cản hoạt động), các biến đại diện chất lượng quản trị cấp quốc gia, chỉ số pháp quyền WGI (Kaufmann et al., 2011), và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tổng hợp bằng chứng về các biến điều tiết thể chế.</w:t>
      </w:r>
    </w:p>
    <w:bookmarkEnd w:id="105"/>
    <w:bookmarkStart w:id="106" w:name="đặc-điểm-nhà-quản-trị-cấp-cao"/>
    <w:p>
      <w:pPr>
        <w:pStyle w:val="Heading4"/>
      </w:pPr>
      <w:r>
        <w:t xml:space="preserve">Đặc điểm nhà quản trị cấp cao</w:t>
      </w:r>
    </w:p>
    <w:p>
      <w:pPr>
        <w:pStyle w:val="FirstParagraph"/>
      </w:pPr>
      <w:r>
        <w:rPr>
          <w:bCs/>
          <w:b/>
        </w:rPr>
        <w:t xml:space="preserve">Biến chính</w:t>
      </w:r>
      <w:r>
        <w:t xml:space="preserve">: kinh nghiệm nhà quản trị cấp cao (số năm kinh nghiệm trong ngành) và giới tính nhà quản trị cấp cao (nữ/nam).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106"/>
    <w:bookmarkEnd w:id="107"/>
    <w:bookmarkStart w:id="108"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Bậc 1 ghi nhận hiện diện số bề mặt qua chỉ báo website (trường c22b), một mục nhị phân khả dụng ở hầu hết các đợt khảo sát. Bậc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Bậc 1 (đơn biến nhị phân) dùng ở Việt Nam và đảo nhỏ Thái Bình Dương, biến thể Bậc 1 cộng Bậc 2 dùng ở Singapore và khung đa quốc gia khi trường k33 có mặt, và biến thể thu gọn về Bậc 1 khi trường Bậc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108"/>
    <w:bookmarkStart w:id="109"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phân hệ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Bậc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Bậc 2 thanh toán điện tử và Bậc 3 đám mây/hệ hoạch định nguồn lực doanh nghiệp. Khung đa quốc gia dùng biến thể Bậc 1 cộng Bậc 2 khi trường thanh toán điện tử có mặt và thu gọn về Bậc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109"/>
    <w:bookmarkStart w:id="110"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mô hình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110"/>
    <w:bookmarkStart w:id="111"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Lựa chọn xử lý ICRV như biến số nguyên liên tục thay vì hệ biến giả là có chủ đích, nhằm giữ cỡ mẫu đủ lớn trong các mô hình điều tiết và ba chiều, nơi việc tách thành sáu biến giả tương tác sẽ làm phân mảnh mẫu và làm bất ổn ước lượng.</w:t>
      </w:r>
    </w:p>
    <w:p>
      <w:pPr>
        <w:pStyle w:val="BodyText"/>
      </w:pPr>
      <w:r>
        <w:t xml:space="preserve">Phân tích điểm uốn theo từng chế độ làm lộ rõ cấu trúc ba vùng đặc trưng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mất cấu trúc;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111"/>
    <w:bookmarkStart w:id="112"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 Để thuận tiện cho việc đối chiếu, hai bảng kiểm minh bạch của Aguinis et al. (2019) được luận án xử lý ở các vị trí sau: thiết kế nghiên cứu và cấu trúc thời gian ở Mục 3.1 và Phụ lục A.1, A.6; quy trình chọn mẫu ở Phụ lục A.2; quản lý dữ liệu khuyết ở Phụ lục A.9; xử lý giá trị ngoại lai ở Mục 3.5.3; biến đổi dữ liệu ở Mục 3.3.2.1; và quy trình tái lập kèm cỡ mẫu còn lại ở từng bước ở Phụ lục A.3.</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w:t>
            </w:r>
            <m:oMath>
              <m:sSup>
                <m:e>
                  <m:r>
                    <m:rPr>
                      <m:nor/>
                      <m:sty m:val="p"/>
                    </m:rPr>
                    <m:t>FSTS</m:t>
                  </m:r>
                </m:e>
                <m:sup>
                  <m:r>
                    <m:t>2</m:t>
                  </m:r>
                </m:sup>
              </m:sSup>
            </m:oMath>
            <w:r>
              <w:t xml:space="preserve">)</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Bậc 1: website (nhị phân); Bậc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w:t>
            </w:r>
            <w:r>
              <w:t xml:space="preserve">$10%)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112"/>
    <w:bookmarkEnd w:id="113"/>
    <w:bookmarkStart w:id="134" w:name="mô-hình-phân-tích"/>
    <w:p>
      <w:pPr>
        <w:pStyle w:val="Heading2"/>
      </w:pPr>
      <w:r>
        <w:t xml:space="preserve">3.4 Mô hình phân tích</w:t>
      </w:r>
    </w:p>
    <w:bookmarkStart w:id="114"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114"/>
    <w:bookmarkStart w:id="115"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biến kiểm soát (control variables).</w:t>
      </w:r>
    </w:p>
    <w:bookmarkEnd w:id="115"/>
    <w:bookmarkStart w:id="116"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116"/>
    <w:bookmarkStart w:id="117"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phổ thể chế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một sự đảo dạng bản thân nó nhất quán với quan hệ đơn điệu âm không có điểm quay nội miền.</w:t>
      </w:r>
    </w:p>
    <w:bookmarkEnd w:id="117"/>
    <w:bookmarkStart w:id="120" w:name="mô-hình-điều-tiết-h2h6"/>
    <w:p>
      <w:pPr>
        <w:pStyle w:val="Heading3"/>
      </w:pPr>
      <w:r>
        <w:t xml:space="preserve">3.4.4 Mô hình điều tiết (H2–H6)</w:t>
      </w:r>
    </w:p>
    <w:bookmarkStart w:id="118"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M</m:t>
                  </m:r>
                </m:e>
                <m:sub>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18"/>
    <w:bookmarkStart w:id="119"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(các số hạng tương tác)</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chấp nhận số,</w:t>
      </w:r>
      <w:r>
        <w:t xml:space="preserve"> </w:t>
      </w:r>
      <m:oMath>
        <m:r>
          <m:t>I</m:t>
        </m:r>
      </m:oMath>
      <w:r>
        <w:t xml:space="preserve"> </w:t>
      </w:r>
      <w:r>
        <w:t xml:space="preserve">= thể chế,</w:t>
      </w:r>
      <w:r>
        <w:t xml:space="preserve"> </w:t>
      </w:r>
      <m:oMath>
        <m:r>
          <m:t>M</m:t>
        </m:r>
      </m:oMath>
      <w:r>
        <w:t xml:space="preserve"> </w:t>
      </w:r>
      <w:r>
        <w:t xml:space="preserve">= nhà quản trị.</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điều tiết ba chiều (số × thể chế × nhà quản trị) trong bối cảnh châu Á và Thái Bình Dương với 50 nước chưa được kiểm định trước đây.</w:t>
      </w:r>
    </w:p>
    <w:bookmarkEnd w:id="119"/>
    <w:bookmarkEnd w:id="120"/>
    <w:bookmarkStart w:id="121"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121"/>
    <w:bookmarkStart w:id="122"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Sự đối lập giữa bền vững ở Trung Quốc và sụp đổ ở Ấn Độ chính là giá trị nhận dạng của kiểm định xuyên đợt: nó phân biệt được dịch chuyển cấu trúc thực do cú sốc thể chế khỏi biến thiên ngẫu nhiên của mẫu.</w:t>
      </w:r>
    </w:p>
    <w:bookmarkEnd w:id="122"/>
    <w:bookmarkStart w:id="123"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biến:</w:t>
      </w:r>
    </w:p>
    <w:p>
      <w:pPr>
        <w:numPr>
          <w:ilvl w:val="0"/>
          <w:numId w:val="1009"/>
        </w:numPr>
        <w:pStyle w:val="Compact"/>
      </w:pPr>
      <w:r>
        <w:rPr>
          <w:bCs/>
          <w:b/>
        </w:rPr>
        <w:t xml:space="preserve">lnLP_it</w:t>
      </w:r>
      <w:r>
        <w:t xml:space="preserve">: log năng suất lao động (ln doanh thu nội tệ / lao động thường xuyên)</w:t>
      </w:r>
    </w:p>
    <w:p>
      <w:pPr>
        <w:numPr>
          <w:ilvl w:val="0"/>
          <w:numId w:val="1009"/>
        </w:numPr>
        <w:pStyle w:val="Compact"/>
      </w:pPr>
      <w:r>
        <w:rPr>
          <w:bCs/>
          <w:b/>
        </w:rPr>
        <w:t xml:space="preserve">FSTS_c_it</w:t>
      </w:r>
      <w:r>
        <w:t xml:space="preserve">: cường độ xuất khẩu điều chỉnh trung bình trong sóng (mean-centred)</w:t>
      </w:r>
    </w:p>
    <w:p>
      <w:pPr>
        <w:numPr>
          <w:ilvl w:val="0"/>
          <w:numId w:val="1009"/>
        </w:numPr>
        <w:pStyle w:val="Compact"/>
      </w:pPr>
      <w:r>
        <w:rPr>
          <w:bCs/>
          <w:b/>
        </w:rPr>
        <w:t xml:space="preserve">FSTS_c²_it</w:t>
      </w:r>
      <w:r>
        <w:t xml:space="preserve">: bình phương cường độ xuất khẩu điều chỉnh</w:t>
      </w:r>
    </w:p>
    <w:p>
      <w:pPr>
        <w:numPr>
          <w:ilvl w:val="0"/>
          <w:numId w:val="1009"/>
        </w:numPr>
        <w:pStyle w:val="Compact"/>
      </w:pPr>
      <w:r>
        <w:rPr>
          <w:bCs/>
          <w:b/>
        </w:rPr>
        <w:t xml:space="preserve">TCI_z_it</w:t>
      </w:r>
      <w:r>
        <w:t xml:space="preserve">: năng lực công nghệ (chuẩn hoá z trong sóng)</w:t>
      </w:r>
    </w:p>
    <w:p>
      <w:pPr>
        <w:numPr>
          <w:ilvl w:val="0"/>
          <w:numId w:val="1009"/>
        </w:numPr>
        <w:pStyle w:val="Compact"/>
      </w:pPr>
      <w:r>
        <w:rPr>
          <w:bCs/>
          <w:b/>
        </w:rPr>
        <w:t xml:space="preserve">DAI_z_it</w:t>
      </w:r>
      <w:r>
        <w:t xml:space="preserve">: chỉ số số hoá cơ sở, Bậc 1 (chuẩn hoá z trong sóng)</w:t>
      </w:r>
    </w:p>
    <w:p>
      <w:pPr>
        <w:numPr>
          <w:ilvl w:val="0"/>
          <w:numId w:val="1009"/>
        </w:numPr>
        <w:pStyle w:val="Compact"/>
      </w:pPr>
      <w:r>
        <w:rPr>
          <w:bCs/>
          <w:b/>
        </w:rPr>
        <w:t xml:space="preserve">lnL</w:t>
      </w:r>
      <w:r>
        <w:t xml:space="preserve"> </w:t>
      </w:r>
      <w:r>
        <w:t xml:space="preserve">= ln(L) (quy mô),</w:t>
      </w:r>
      <w:r>
        <w:t xml:space="preserve"> </w:t>
      </w:r>
      <w:r>
        <w:rPr>
          <w:bCs/>
          <w:b/>
        </w:rPr>
        <w:t xml:space="preserve">Age</w:t>
      </w:r>
      <w:r>
        <w:t xml:space="preserve"> </w:t>
      </w:r>
      <w:r>
        <w:t xml:space="preserve">(tuổi),</w:t>
      </w:r>
      <w:r>
        <w:t xml:space="preserve"> </w:t>
      </w:r>
      <w:r>
        <w:rPr>
          <w:bCs/>
          <w:b/>
        </w:rPr>
        <w:t xml:space="preserve">Own</w:t>
      </w:r>
      <w:r>
        <w:t xml:space="preserve"> </w:t>
      </w:r>
      <w:r>
        <w:t xml:space="preserve">(sở hữu): biến kiểm soát</w:t>
      </w:r>
    </w:p>
    <w:p>
      <w:pPr>
        <w:numPr>
          <w:ilvl w:val="0"/>
          <w:numId w:val="1009"/>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TCI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TCI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DAI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DAI):</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ln(doanh thu nội tệ / lao động thường xuyên)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trung bình sóng: chuẩn hoá điều chỉnh</w:t>
            </w:r>
          </w:p>
        </w:tc>
        <w:tc>
          <w:tcPr/>
          <w:p>
            <w:pPr>
              <w:pStyle w:val="Compact"/>
              <w:jc w:val="left"/>
            </w:pPr>
            <w:r>
              <w:t xml:space="preserve">Biến độc lập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 hạng phi tuyến</w:t>
            </w:r>
          </w:p>
        </w:tc>
        <w:tc>
          <w:tcPr/>
          <w:p>
            <w:pPr>
              <w:pStyle w:val="Compact"/>
              <w:jc w:val="left"/>
            </w:pPr>
            <w:r>
              <w:t xml:space="preserve">Kiểm định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Bậc 1 (H3 thăm dò)</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p>
      <w:pPr>
        <w:pStyle w:val="BodyText"/>
      </w:pPr>
      <w:r>
        <w:rPr>
          <w:iCs/>
          <w:i/>
        </w:rPr>
        <w:t xml:space="preserve">Đối chiếu ký hiệu (áp dụng cho toàn bộ bảng định nghĩa biến Chương 3): các ký hiệu Anh chính tắc dùng xuyên suốt luận án trước đây được ghi bằng mnemonic tiếng Việt — FSTS (CDDXK, cường độ xuất khẩu), TCI (NLCN, năng lực công nghệ), DAI (CSS, chấp nhận số), lnLP (lnNSLD, năng suất lao động), lnL (lnLD, quy mô lao động), Age (TuoiDN, tuổi doanh nghiệp), Own (SoHuuNN, sở hữu nước ngoài), MgrExp (KNQLy, kinh nghiệm quản lý) và MgrFem (NQL_nu, nữ quản lý cấp cao).</w:t>
      </w:r>
    </w:p>
    <w:bookmarkEnd w:id="123"/>
    <w:bookmarkStart w:id="124"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biến:</w:t>
      </w:r>
    </w:p>
    <w:p>
      <w:pPr>
        <w:numPr>
          <w:ilvl w:val="0"/>
          <w:numId w:val="1010"/>
        </w:numPr>
        <w:pStyle w:val="Compact"/>
      </w:pPr>
      <w:r>
        <w:rPr>
          <w:bCs/>
          <w:b/>
        </w:rPr>
        <w:t xml:space="preserve">lnLP_i</w:t>
      </w:r>
      <w:r>
        <w:t xml:space="preserve">: log năng suất lao động (ln doanh thu nội tệ / lao động thường xuyên)</w:t>
      </w:r>
    </w:p>
    <w:p>
      <w:pPr>
        <w:numPr>
          <w:ilvl w:val="0"/>
          <w:numId w:val="1010"/>
        </w:numPr>
        <w:pStyle w:val="Compact"/>
      </w:pPr>
      <w:r>
        <w:rPr>
          <w:bCs/>
          <w:b/>
        </w:rPr>
        <w:t xml:space="preserve">FSTS_i</w:t>
      </w:r>
      <w:r>
        <w:t xml:space="preserve">: cường độ xuất khẩu trực tiếp (d3c / 100)</w:t>
      </w:r>
    </w:p>
    <w:p>
      <w:pPr>
        <w:numPr>
          <w:ilvl w:val="0"/>
          <w:numId w:val="1010"/>
        </w:numPr>
        <w:pStyle w:val="Compact"/>
      </w:pPr>
      <w:r>
        <w:rPr>
          <w:bCs/>
          <w:b/>
        </w:rPr>
        <w:t xml:space="preserve">FSTS_c_i</w:t>
      </w:r>
      <w:r>
        <w:t xml:space="preserve">: FSTS trung bình mẫu; FSTS_c² là bình phương</w:t>
      </w:r>
    </w:p>
    <w:p>
      <w:pPr>
        <w:numPr>
          <w:ilvl w:val="0"/>
          <w:numId w:val="1010"/>
        </w:numPr>
        <w:pStyle w:val="Compact"/>
      </w:pPr>
      <w:r>
        <w:rPr>
          <w:bCs/>
          <w:b/>
        </w:rPr>
        <w:t xml:space="preserve">TCI_z_i</w:t>
      </w:r>
      <w:r>
        <w:t xml:space="preserve">: năng lực công nghệ, chuẩn hóa z của trung bình(b8₀₁, e6₀₁)</w:t>
      </w:r>
    </w:p>
    <w:p>
      <w:pPr>
        <w:numPr>
          <w:ilvl w:val="0"/>
          <w:numId w:val="1010"/>
        </w:numPr>
        <w:pStyle w:val="Compact"/>
      </w:pPr>
      <w:r>
        <w:rPr>
          <w:bCs/>
          <w:b/>
        </w:rPr>
        <w:t xml:space="preserve">DAI_z_i</w:t>
      </w:r>
      <w:r>
        <w:t xml:space="preserve">: chỉ số số hoá</w:t>
      </w:r>
      <w:r>
        <w:t xml:space="preserve"> </w:t>
      </w:r>
      <w:r>
        <w:rPr>
          <w:bCs/>
          <w:b/>
        </w:rPr>
        <w:t xml:space="preserve">Bậc 1 và 2</w:t>
      </w:r>
      <w:r>
        <w:t xml:space="preserve">, chuẩn hóa z của trung bình(c22b₀₁, k33₀₁, k38₀₁); khác P3 ở chỗ bao gồm thanh toán điện tử hai chiều (Bậc 2)</w:t>
      </w:r>
    </w:p>
    <w:p>
      <w:pPr>
        <w:numPr>
          <w:ilvl w:val="0"/>
          <w:numId w:val="1010"/>
        </w:numPr>
        <w:pStyle w:val="Compact"/>
      </w:pPr>
      <w:r>
        <w:rPr>
          <w:bCs/>
          <w:b/>
        </w:rPr>
        <w:t xml:space="preserve">lnL_i</w:t>
      </w:r>
      <w:r>
        <w:t xml:space="preserve"> </w:t>
      </w:r>
      <w:r>
        <w:t xml:space="preserve">= ln(L)_i (quy mô),</w:t>
      </w:r>
      <w:r>
        <w:t xml:space="preserve"> </w:t>
      </w:r>
      <w:r>
        <w:rPr>
          <w:bCs/>
          <w:b/>
        </w:rPr>
        <w:t xml:space="preserve">Age_i</w:t>
      </w:r>
      <w:r>
        <w:t xml:space="preserve"> </w:t>
      </w:r>
      <w:r>
        <w:t xml:space="preserve">(tuổi),</w:t>
      </w:r>
      <w:r>
        <w:t xml:space="preserve"> </w:t>
      </w:r>
      <w:r>
        <w:rPr>
          <w:bCs/>
          <w:b/>
        </w:rPr>
        <w:t xml:space="preserve">Own_i</w:t>
      </w:r>
      <w:r>
        <w:t xml:space="preserve"> </w:t>
      </w:r>
      <w:r>
        <w:t xml:space="preserve">(sở hữu): biến kiểm soát tương tự P3, gộp trong vector</w:t>
      </w:r>
      <w:r>
        <w:t xml:space="preserve"> </w:t>
      </w:r>
      <w:r>
        <w:rPr>
          <w:bCs/>
          <w:b/>
        </w:rPr>
        <w:t xml:space="preserve">X</w:t>
      </w:r>
      <w:r>
        <w:t xml:space="preserve">_i</w:t>
      </w:r>
    </w:p>
    <w:p>
      <w:pPr>
        <w:numPr>
          <w:ilvl w:val="0"/>
          <w:numId w:val="1010"/>
        </w:numPr>
        <w:pStyle w:val="Compact"/>
      </w:pPr>
      <w:r>
        <w:rPr>
          <w:bCs/>
          <w:b/>
        </w:rPr>
        <w:t xml:space="preserve">δ_s</w:t>
      </w:r>
      <w:r>
        <w:t xml:space="preserve">: ngành hiệu ứng cố định (ISIC 1-chữ số)</w:t>
      </w:r>
    </w:p>
    <w:p>
      <w:pPr>
        <w:numPr>
          <w:ilvl w:val="0"/>
          <w:numId w:val="1010"/>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odyText"/>
      </w:pPr>
      <w:r>
        <w:rPr>
          <w:bCs/>
          <w:b/>
        </w:rPr>
        <w:t xml:space="preserve">M0 (Baseline):</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sub>
          </m:sSub>
          <m:r>
            <m:rPr>
              <m:sty m:val="p"/>
            </m:rPr>
            <m:t>+</m:t>
          </m:r>
          <m:sSub>
            <m:e>
              <m:r>
                <m:t>γ</m:t>
              </m:r>
            </m:e>
            <m:sub>
              <m:r>
                <m:t>2</m:t>
              </m:r>
            </m:sub>
          </m:sSub>
          <m:r>
            <m:t> </m:t>
          </m:r>
          <m:sSub>
            <m:e>
              <m:r>
                <m:rPr>
                  <m:sty m:val="p"/>
                </m:rPr>
                <m:t>A</m:t>
              </m:r>
              <m:r>
                <m:rPr>
                  <m:sty m:val="p"/>
                </m:rPr>
                <m:t>g</m:t>
              </m:r>
              <m:r>
                <m:rPr>
                  <m:sty m:val="p"/>
                </m:rPr>
                <m:t>e</m:t>
              </m:r>
            </m:e>
            <m:sub>
              <m:r>
                <m:t>i</m:t>
              </m:r>
            </m:sub>
          </m:sSub>
          <m:r>
            <m:rPr>
              <m:sty m:val="p"/>
            </m:rPr>
            <m:t>+</m:t>
          </m:r>
          <m:sSub>
            <m:e>
              <m:r>
                <m:t>γ</m:t>
              </m:r>
            </m:e>
            <m:sub>
              <m:r>
                <m:t>3</m:t>
              </m:r>
            </m:sub>
          </m:sSub>
          <m:r>
            <m:t> </m:t>
          </m:r>
          <m:sSub>
            <m:e>
              <m:r>
                <m:rPr>
                  <m:sty m:val="p"/>
                </m:rPr>
                <m:t>O</m:t>
              </m:r>
              <m:r>
                <m:rPr>
                  <m:sty m:val="p"/>
                </m:rPr>
                <m:t>w</m:t>
              </m:r>
              <m:r>
                <m:rPr>
                  <m:sty m:val="p"/>
                </m:rPr>
                <m:t>n</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88</m:t>
        </m:r>
        <m:r>
          <m:rPr>
            <m:sty m:val="p"/>
          </m:rPr>
          <m:t>,</m:t>
        </m:r>
        <m:r>
          <m:t>6</m:t>
        </m:r>
        <m:r>
          <m:rPr>
            <m:sty m:val="p"/>
          </m:rPr>
          <m:t>%</m:t>
        </m:r>
      </m:oMath>
      <w:r>
        <w:t xml:space="preserve"> </w:t>
      </w:r>
      <m:oMath>
        <m:r>
          <m:rPr>
            <m:sty m:val="p"/>
          </m:rPr>
          <m:t>F</m:t>
        </m:r>
        <m:r>
          <m:rPr>
            <m:sty m:val="p"/>
          </m:rPr>
          <m:t>S</m:t>
        </m:r>
        <m:r>
          <m:rPr>
            <m:sty m:val="p"/>
          </m:rPr>
          <m:t>T</m:t>
        </m:r>
        <m:r>
          <m:rPr>
            <m:sty m:val="p"/>
          </m:rPr>
          <m:t>S</m:t>
        </m:r>
      </m:oMath>
      <w:r>
        <w:t xml:space="preserve"> </w:t>
      </w:r>
      <w:r>
        <w:t xml:space="preserve">(CI bootstrap [53%, 253%]). Lưu ý: Lind–Mehlum</w:t>
      </w:r>
      <w:r>
        <w:t xml:space="preserve"> </w:t>
      </w:r>
      <m:oMath>
        <m:r>
          <m:t>p</m:t>
        </m:r>
        <m:r>
          <m:rPr>
            <m:sty m:val="p"/>
          </m:rPr>
          <m:t>=</m:t>
        </m:r>
        <m:r>
          <m:t>0</m:t>
        </m:r>
        <m:r>
          <m:rPr>
            <m:sty m:val="p"/>
          </m:rPr>
          <m:t>,</m:t>
        </m:r>
        <m:r>
          <m:t>303</m:t>
        </m:r>
      </m:oMath>
      <w:r>
        <w:t xml:space="preserve">, không bác bỏ tuyến tính trong phạm vi dữ liệu quan sát; đây là kết quả thông tin tích cực theo khung bão hòa (saturation framework).</w:t>
      </w:r>
    </w:p>
    <w:p>
      <w:pPr>
        <w:pStyle w:val="BodyText"/>
      </w:pPr>
      <w:r>
        <w:rPr>
          <w:bCs/>
          <w:b/>
        </w:rPr>
        <w:t xml:space="preserve">M3 (+ TCI, H1-TCI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M5 (Mô hình đầy đủ, kiểm định H3):</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sub>
                    </m:sSub>
                    <m:r>
                      <m:rPr>
                        <m:sty m:val="p"/>
                      </m:rPr>
                      <m:t>×</m:t>
                    </m:r>
                    <m:sSub>
                      <m:e>
                        <m:r>
                          <m:rPr>
                            <m:sty m:val="p"/>
                          </m:rPr>
                          <m:t>D</m:t>
                        </m:r>
                        <m:r>
                          <m:rPr>
                            <m:sty m:val="p"/>
                          </m:rPr>
                          <m:t>A</m:t>
                        </m:r>
                        <m:r>
                          <m:rPr>
                            <m:sty m:val="p"/>
                          </m:rPr>
                          <m:t>I</m:t>
                        </m:r>
                      </m:e>
                      <m:sub>
                        <m:r>
                          <m:t>z</m:t>
                        </m:r>
                        <m:r>
                          <m:rPr>
                            <m:sty m:val="p"/>
                          </m:rPr>
                          <m:t>,</m:t>
                        </m:r>
                        <m:r>
                          <m:t>i</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rPr>
                            <m:sty m:val="p"/>
                          </m:rPr>
                          <m:t>D</m:t>
                        </m:r>
                        <m:r>
                          <m:rPr>
                            <m:sty m:val="p"/>
                          </m:rPr>
                          <m:t>A</m:t>
                        </m:r>
                        <m:r>
                          <m:rPr>
                            <m:sty m:val="p"/>
                          </m:rPr>
                          <m:t>I</m:t>
                        </m:r>
                      </m:e>
                      <m:sub>
                        <m:r>
                          <m:t>z</m:t>
                        </m:r>
                        <m:r>
                          <m:rPr>
                            <m:sty m:val="p"/>
                          </m:rPr>
                          <m:t>,</m:t>
                        </m:r>
                        <m:r>
                          <m:t>i</m:t>
                        </m:r>
                      </m:sub>
                    </m:sSub>
                  </m:e>
                </m:d>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e>
            </m:mr>
          </m:m>
        </m:oMath>
      </m:oMathPara>
    </w:p>
    <w:p>
      <w:pPr>
        <w:pStyle w:val="FirstParagraph"/>
      </w:pPr>
      <w:r>
        <w:t xml:space="preserve">H3:</w:t>
      </w:r>
      <w:r>
        <w:t xml:space="preserve"> </w:t>
      </w:r>
      <m:oMath>
        <m:sSub>
          <m:e>
            <m:r>
              <m:t>β</m:t>
            </m:r>
          </m:e>
          <m:sub>
            <m:r>
              <m:t>6</m:t>
            </m:r>
          </m:sub>
        </m:sSub>
        <m:r>
          <m:rPr>
            <m:sty m:val="p"/>
          </m:rPr>
          <m:t>&gt;</m:t>
        </m:r>
        <m:r>
          <m:t>0</m:t>
        </m:r>
      </m:oMath>
      <w:r>
        <w:t xml:space="preserve">, DAI khuếch đại lợi nhuận quốc tế hóa và hiệu quả ở cường độ xuất khẩu cao (coordination platform mechanism; Stallkamp &amp; Schotter, 2021). Kết quả:</w:t>
      </w:r>
      <w:r>
        <w:t xml:space="preserve"> </w:t>
      </w:r>
      <m:oMath>
        <m:sSub>
          <m:e>
            <m:r>
              <m:t>β</m:t>
            </m:r>
          </m:e>
          <m:sub>
            <m:r>
              <m:t>6</m:t>
            </m:r>
          </m:sub>
        </m:sSub>
        <m:r>
          <m:rPr>
            <m:sty m:val="p"/>
          </m:rPr>
          <m:t>=</m:t>
        </m:r>
        <m:r>
          <m:rPr>
            <m:sty m:val="p"/>
          </m:rPr>
          <m:t>+</m:t>
        </m:r>
        <m:r>
          <m:t>3</m:t>
        </m:r>
        <m:r>
          <m:rPr>
            <m:sty m:val="p"/>
          </m:rPr>
          <m:t>,</m:t>
        </m:r>
        <m:r>
          <m:t>119</m:t>
        </m:r>
      </m:oMath>
      <w:r>
        <w:t xml:space="preserve"> </w:t>
      </w:r>
      <w:r>
        <w:t xml:space="preserve">(</w:t>
      </w:r>
      <m:oMath>
        <m:r>
          <m:t>p</m:t>
        </m:r>
        <m:r>
          <m:rPr>
            <m:sty m:val="p"/>
          </m:rPr>
          <m:t>=</m:t>
        </m:r>
        <m:r>
          <m:t>0</m:t>
        </m:r>
        <m:r>
          <m:rPr>
            <m:sty m:val="p"/>
          </m:rPr>
          <m:t>,</m:t>
        </m:r>
        <m:r>
          <m:t>005</m:t>
        </m:r>
      </m:oMath>
      <w:r>
        <w:t xml:space="preserve">) trong mẫu đầy đủ;</w:t>
      </w:r>
      <w:r>
        <w:t xml:space="preserve"> </w:t>
      </w:r>
      <m:oMath>
        <m:sSub>
          <m:e>
            <m:r>
              <m:t>β</m:t>
            </m:r>
          </m:e>
          <m:sub>
            <m:r>
              <m:t>6</m:t>
            </m:r>
          </m:sub>
        </m:sSub>
        <m:r>
          <m:rPr>
            <m:sty m:val="p"/>
          </m:rPr>
          <m:t>=</m:t>
        </m:r>
        <m:r>
          <m:rPr>
            <m:sty m:val="p"/>
          </m:rPr>
          <m:t>+</m:t>
        </m:r>
        <m:r>
          <m:t>2</m:t>
        </m:r>
        <m:r>
          <m:rPr>
            <m:sty m:val="p"/>
          </m:rPr>
          <m:t>,</m:t>
        </m:r>
        <m:r>
          <m:t>821</m:t>
        </m:r>
      </m:oMath>
      <w:r>
        <w:t xml:space="preserve"> </w:t>
      </w:r>
      <w:r>
        <w:t xml:space="preserve">(</w:t>
      </w:r>
      <m:oMath>
        <m:r>
          <m:t>p</m:t>
        </m:r>
        <m:r>
          <m:rPr>
            <m:sty m:val="p"/>
          </m:rPr>
          <m:t>=</m:t>
        </m:r>
        <m:r>
          <m:t>0</m:t>
        </m:r>
        <m:r>
          <m:rPr>
            <m:sty m:val="p"/>
          </m:rPr>
          <m:t>,</m:t>
        </m:r>
        <m:r>
          <m:t>003</m:t>
        </m:r>
      </m:oMath>
      <w:r>
        <w:t xml:space="preserve">, F-test) trong mẫu chỉ xuất khẩu (</w:t>
      </w:r>
      <m:oMath>
        <m:r>
          <m:t>N</m:t>
        </m:r>
        <m:r>
          <m:rPr>
            <m:sty m:val="p"/>
          </m:rPr>
          <m:t>=</m:t>
        </m:r>
        <m:r>
          <m:t>84</m:t>
        </m:r>
      </m:oMath>
      <w:r>
        <w:t xml:space="preserve">, lưu ý: công suất thống kê</w:t>
      </w:r>
      <w:r>
        <w:t xml:space="preserve"> </w:t>
      </w:r>
      <m:oMath>
        <m:r>
          <m:rPr>
            <m:sty m:val="p"/>
          </m:rPr>
          <m:t>≈</m:t>
        </m:r>
        <m:r>
          <m:t>16</m:t>
        </m:r>
        <m:r>
          <m:rPr>
            <m:sty m:val="p"/>
          </m:rPr>
          <m:t>%</m:t>
        </m:r>
      </m:oMath>
      <w:r>
        <w:t xml:space="preserve">)</w:t>
      </w:r>
    </w:p>
    <w:p>
      <w:pPr>
        <w:pStyle w:val="BodyText"/>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Phi tuyến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Bậc 1 và 2</w:t>
            </w:r>
          </w:p>
        </w:tc>
        <w:tc>
          <w:tcPr/>
          <w:p>
            <w:pPr>
              <w:pStyle w:val="Compact"/>
              <w:jc w:val="left"/>
            </w:pPr>
            <w:r>
              <w:t xml:space="preserve">Số hoá Bậc 1 và 2 (H3)</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124"/>
    <w:bookmarkStart w:id="125"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lõi panel</w:t>
      </w:r>
      <w:r>
        <w:t xml:space="preserve">”</w:t>
      </w:r>
      <w:r>
        <w:t xml:space="preserve"> </w:t>
      </w:r>
      <w:r>
        <w:t xml:space="preserve">(panel core) được sử dụng cho sai số chuẩn gom cụm (cluster-robust SE)). Ký hiệu biến:</w:t>
      </w:r>
    </w:p>
    <w:p>
      <w:pPr>
        <w:numPr>
          <w:ilvl w:val="0"/>
          <w:numId w:val="1011"/>
        </w:numPr>
        <w:pStyle w:val="Compact"/>
      </w:pPr>
      <w:r>
        <w:rPr>
          <w:bCs/>
          <w:b/>
        </w:rPr>
        <w:t xml:space="preserve">lnLP_it</w:t>
      </w:r>
      <w:r>
        <w:t xml:space="preserve">: log năng suất lao động (biến phụ thuộc)</w:t>
      </w:r>
    </w:p>
    <w:p>
      <w:pPr>
        <w:numPr>
          <w:ilvl w:val="0"/>
          <w:numId w:val="1011"/>
        </w:numPr>
        <w:pStyle w:val="Compact"/>
      </w:pPr>
      <w:r>
        <w:rPr>
          <w:bCs/>
          <w:b/>
        </w:rPr>
        <w:t xml:space="preserve">FSTS_c_it</w:t>
      </w:r>
      <w:r>
        <w:t xml:space="preserve">: cường độ xuất khẩu centred theo trung bình sóng</w:t>
      </w:r>
    </w:p>
    <w:p>
      <w:pPr>
        <w:numPr>
          <w:ilvl w:val="0"/>
          <w:numId w:val="1011"/>
        </w:numPr>
        <w:pStyle w:val="Compact"/>
      </w:pPr>
      <w:r>
        <w:rPr>
          <w:bCs/>
          <w:b/>
        </w:rPr>
        <w:t xml:space="preserve">TCI_full_z_it</w:t>
      </w:r>
      <w:r>
        <w:t xml:space="preserve">: năng lực công nghệ toàn diện, chuẩn hóa z của TB(b8₀₁, e6₀₁, h1₀₁, h8₀₁); mở rộng hơn P3</w:t>
      </w:r>
    </w:p>
    <w:p>
      <w:pPr>
        <w:numPr>
          <w:ilvl w:val="0"/>
          <w:numId w:val="1011"/>
        </w:numPr>
        <w:pStyle w:val="Compact"/>
      </w:pPr>
      <w:r>
        <w:rPr>
          <w:bCs/>
          <w:b/>
        </w:rPr>
        <w:t xml:space="preserve">DAI_core_it</w:t>
      </w:r>
      <w:r>
        <w:t xml:space="preserve">: chỉ số số hoá cơ bản, chỉ c22b₀₁ (Bậc 1 mỏng, một chỉ báo nhị phân)</w:t>
      </w:r>
    </w:p>
    <w:p>
      <w:pPr>
        <w:numPr>
          <w:ilvl w:val="0"/>
          <w:numId w:val="1011"/>
        </w:numPr>
        <w:pStyle w:val="Compact"/>
      </w:pPr>
      <w:r>
        <w:rPr>
          <w:bCs/>
          <w:b/>
        </w:rPr>
        <w:t xml:space="preserve">lnL_it</w:t>
      </w:r>
      <w:r>
        <w:t xml:space="preserve"> </w:t>
      </w:r>
      <w:r>
        <w:t xml:space="preserve">= ln(L)_it (quy mô),</w:t>
      </w:r>
      <w:r>
        <w:t xml:space="preserve"> </w:t>
      </w:r>
      <w:r>
        <w:rPr>
          <w:bCs/>
          <w:b/>
        </w:rPr>
        <w:t xml:space="preserve">Age_it</w:t>
      </w:r>
      <w:r>
        <w:t xml:space="preserve"> </w:t>
      </w:r>
      <w:r>
        <w:t xml:space="preserve">(tuổi),</w:t>
      </w:r>
      <w:r>
        <w:t xml:space="preserve"> </w:t>
      </w:r>
      <w:r>
        <w:rPr>
          <w:bCs/>
          <w:b/>
        </w:rPr>
        <w:t xml:space="preserve">Own_it</w:t>
      </w:r>
      <w:r>
        <w:t xml:space="preserve"> </w:t>
      </w:r>
      <w:r>
        <w:t xml:space="preserve">(sở hữu): biến kiểm soát, gộp trong vector</w:t>
      </w:r>
      <w:r>
        <w:t xml:space="preserve"> </w:t>
      </w:r>
      <w:r>
        <w:rPr>
          <w:bCs/>
          <w:b/>
        </w:rPr>
        <w:t xml:space="preserve">X</w:t>
      </w:r>
      <w:r>
        <w:t xml:space="preserve">_it</w:t>
      </w:r>
    </w:p>
    <w:p>
      <w:pPr>
        <w:numPr>
          <w:ilvl w:val="0"/>
          <w:numId w:val="1011"/>
        </w:numPr>
        <w:pStyle w:val="Compact"/>
      </w:pPr>
      <w:r>
        <w:rPr>
          <w:bCs/>
          <w:b/>
        </w:rPr>
        <w:t xml:space="preserve">δ_s</w:t>
      </w:r>
      <w:r>
        <w:t xml:space="preserve">: ngành hiệu ứng cố định;</w:t>
      </w:r>
      <w:r>
        <w:t xml:space="preserve"> </w:t>
      </w:r>
      <w:r>
        <w:rPr>
          <w:bCs/>
          <w:b/>
        </w:rPr>
        <w:t xml:space="preserve">λ_t</w:t>
      </w:r>
      <w:r>
        <w:t xml:space="preserve">: đợt hiệu ứng cố định (pooled)</w:t>
      </w:r>
    </w:p>
    <w:p>
      <w:pPr>
        <w:pStyle w:val="FirstParagraph"/>
      </w:pPr>
      <w:r>
        <w:rPr>
          <w:bCs/>
          <w:b/>
        </w:rPr>
        <w:t xml:space="preserve">Chuỗi mô hình lồng nhau M0–M6:</w:t>
      </w:r>
    </w:p>
    <w:p>
      <w:pPr>
        <w:pStyle w:val="BodyText"/>
      </w:pPr>
      <w:r>
        <w:rPr>
          <w:bCs/>
          <w:b/>
        </w:rPr>
        <w:t xml:space="preserve">M0 (Baseline):</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r>
            <m:t> </m:t>
          </m:r>
          <m:sSub>
            <m:e>
              <m:r>
                <m:rPr>
                  <m:sty m:val="p"/>
                </m:rPr>
                <m:t>A</m:t>
              </m:r>
              <m:r>
                <m:rPr>
                  <m:sty m:val="p"/>
                </m:rPr>
                <m:t>g</m:t>
              </m:r>
              <m:r>
                <m:rPr>
                  <m:sty m:val="p"/>
                </m:rPr>
                <m:t>e</m:t>
              </m:r>
            </m:e>
            <m:sub>
              <m:r>
                <m:t>i</m:t>
              </m:r>
              <m:r>
                <m:t>t</m:t>
              </m:r>
            </m:sub>
          </m:sSub>
          <m:r>
            <m:rPr>
              <m:sty m:val="p"/>
            </m:rPr>
            <m:t>+</m:t>
          </m:r>
          <m:sSub>
            <m:e>
              <m:r>
                <m:t>γ</m:t>
              </m:r>
            </m:e>
            <m:sub>
              <m:r>
                <m:t>3</m:t>
              </m:r>
            </m:sub>
          </m:sSub>
          <m:r>
            <m:t> </m:t>
          </m:r>
          <m:sSub>
            <m:e>
              <m:r>
                <m:rPr>
                  <m:sty m:val="p"/>
                </m:rPr>
                <m:t>O</m:t>
              </m:r>
              <m:r>
                <m:rPr>
                  <m:sty m:val="p"/>
                </m:rPr>
                <m:t>w</m:t>
              </m:r>
              <m:r>
                <m:rPr>
                  <m:sty m:val="p"/>
                </m:rPr>
                <m:t>n</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đạt 49,4% (2012), 47,2% (2024), và 48,8% (pooled). Kiểm định ổn định cấu trúc: Paternoster et al. (1998) z-test:</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0</m:t>
        </m:r>
        <m:r>
          <m:rPr>
            <m:sty m:val="p"/>
          </m:rPr>
          <m:t>,</m:t>
        </m:r>
        <m:r>
          <m:t>82</m:t>
        </m:r>
      </m:oMath>
      <w:r>
        <w:t xml:space="preserve"> </w:t>
      </w:r>
      <w:r>
        <w:t xml:space="preserve">(</w:t>
      </w:r>
      <m:oMath>
        <m:r>
          <m:t>p</m:t>
        </m:r>
        <m:r>
          <m:rPr>
            <m:sty m:val="p"/>
          </m:rPr>
          <m:t>=</m:t>
        </m:r>
        <m:r>
          <m:t>0</m:t>
        </m:r>
        <m:r>
          <m:rPr>
            <m:sty m:val="p"/>
          </m:rPr>
          <m:t>,</m:t>
        </m:r>
        <m:r>
          <m:t>412</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0</m:t>
        </m:r>
        <m:r>
          <m:rPr>
            <m:sty m:val="p"/>
          </m:rPr>
          <m:t>,</m:t>
        </m:r>
        <m:r>
          <m:t>61</m:t>
        </m:r>
      </m:oMath>
      <w:r>
        <w:t xml:space="preserve"> </w:t>
      </w:r>
      <w:r>
        <w:t xml:space="preserve">(</w:t>
      </w:r>
      <m:oMath>
        <m:r>
          <m:t>p</m:t>
        </m:r>
        <m:r>
          <m:rPr>
            <m:sty m:val="p"/>
          </m:rPr>
          <m:t>=</m:t>
        </m:r>
        <m:r>
          <m:t>0</m:t>
        </m:r>
        <m:r>
          <m:rPr>
            <m:sty m:val="p"/>
          </m:rPr>
          <m:t>,</m:t>
        </m:r>
        <m:r>
          <m:t>545</m:t>
        </m:r>
      </m:oMath>
      <w:r>
        <w:t xml:space="preserve">), không bác bỏ bình đẳng hệ số giữa hai sóng.</w:t>
      </w:r>
    </w:p>
    <w:p>
      <w:pPr>
        <w:pStyle w:val="BodyText"/>
      </w:pPr>
      <w:r>
        <w:rPr>
          <w:bCs/>
          <w:b/>
        </w:rPr>
        <w:t xml:space="preserve">M3 (+ TCI trực tiếp, H2 nâng mặt bằng):</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Kết quả:</w:t>
      </w:r>
      <w:r>
        <w:t xml:space="preserve"> </w:t>
      </w:r>
      <m:oMath>
        <m:sSub>
          <m:e>
            <m:r>
              <m:t>β</m:t>
            </m:r>
          </m:e>
          <m:sub>
            <m:r>
              <m:t>3</m:t>
            </m:r>
          </m:sub>
        </m:sSub>
        <m:r>
          <m:rPr>
            <m:sty m:val="p"/>
          </m:rPr>
          <m:t>=</m:t>
        </m:r>
        <m:r>
          <m:rPr>
            <m:sty m:val="p"/>
          </m:rPr>
          <m:t>+</m:t>
        </m:r>
        <m:r>
          <m:t>0</m:t>
        </m:r>
        <m:r>
          <m:rPr>
            <m:sty m:val="p"/>
          </m:rPr>
          <m:t>,</m:t>
        </m:r>
        <m:r>
          <m:t>28</m:t>
        </m:r>
      </m:oMath>
      <w:r>
        <w:t xml:space="preserve"> </w:t>
      </w:r>
      <w:r>
        <w:t xml:space="preserve">(2012,</w:t>
      </w:r>
      <w:r>
        <w:t xml:space="preserve"> </w:t>
      </w:r>
      <m:oMath>
        <m:r>
          <m:t>p</m:t>
        </m:r>
        <m:r>
          <m:rPr>
            <m:sty m:val="p"/>
          </m:rPr>
          <m:t>&lt;</m:t>
        </m:r>
        <m:r>
          <m:t>0</m:t>
        </m:r>
        <m:r>
          <m:rPr>
            <m:sty m:val="p"/>
          </m:rPr>
          <m:t>,</m:t>
        </m:r>
        <m:r>
          <m:t>001</m:t>
        </m:r>
      </m:oMath>
      <w:r>
        <w:t xml:space="preserve">),</w:t>
      </w:r>
      <w:r>
        <w:t xml:space="preserve"> </w:t>
      </w:r>
      <m:oMath>
        <m:r>
          <m:rPr>
            <m:sty m:val="p"/>
          </m:rPr>
          <m:t>+</m:t>
        </m:r>
        <m:r>
          <m:t>0</m:t>
        </m:r>
        <m:r>
          <m:rPr>
            <m:sty m:val="p"/>
          </m:rPr>
          <m:t>,</m:t>
        </m:r>
        <m:r>
          <m:t>43</m:t>
        </m:r>
      </m:oMath>
      <w:r>
        <w:t xml:space="preserve"> </w:t>
      </w:r>
      <w:r>
        <w:t xml:space="preserve">(2024,</w:t>
      </w:r>
      <w:r>
        <w:t xml:space="preserve"> </w:t>
      </w:r>
      <m:oMath>
        <m:r>
          <m:t>p</m:t>
        </m:r>
        <m:r>
          <m:rPr>
            <m:sty m:val="p"/>
          </m:rPr>
          <m:t>&lt;</m:t>
        </m:r>
        <m:r>
          <m:t>0</m:t>
        </m:r>
        <m:r>
          <m:rPr>
            <m:sty m:val="p"/>
          </m:rPr>
          <m:t>,</m:t>
        </m:r>
        <m:r>
          <m:t>001</m:t>
        </m:r>
      </m:oMath>
      <w:r>
        <w:t xml:space="preserve">); TCI là</w:t>
      </w:r>
      <w:r>
        <w:t xml:space="preserve"> </w:t>
      </w:r>
      <w:r>
        <w:t xml:space="preserve">“</w:t>
      </w:r>
      <w:r>
        <w:t xml:space="preserve">bộ nâng mặt bằng</w:t>
      </w:r>
      <w:r>
        <w:t xml:space="preserve">”</w:t>
      </w:r>
      <w:r>
        <w:t xml:space="preserve"> </w:t>
      </w:r>
      <w:r>
        <w:t xml:space="preserve">(level-shifter), không điều tiết độ cong.</w:t>
      </w:r>
    </w:p>
    <w:p>
      <w:pPr>
        <w:pStyle w:val="BodyText"/>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M5 (Kiểm định ổn định xuyên sóng, H2b):</w:t>
      </w:r>
      <w:r>
        <w:t xml:space="preserve"> </w:t>
      </w:r>
      <w:r>
        <w:t xml:space="preserve">Ước lượng M2 riêng biệt cho 2012 và 2024, sau đó áp dụng</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sSubSup>
                    <m:e>
                      <m:r>
                        <m:rPr>
                          <m:sty m:val="p"/>
                        </m:rPr>
                        <m:t>S</m:t>
                      </m:r>
                      <m:r>
                        <m:rPr>
                          <m:sty m:val="p"/>
                        </m:rPr>
                        <m:t>E</m:t>
                      </m:r>
                    </m:e>
                    <m:sub>
                      <m:r>
                        <m:t>1</m:t>
                      </m:r>
                      <m:r>
                        <m:rPr>
                          <m:sty m:val="p"/>
                        </m:rPr>
                        <m:t>,</m:t>
                      </m:r>
                      <m:r>
                        <m:t>2012</m:t>
                      </m:r>
                    </m:sub>
                    <m:sup>
                      <m:r>
                        <m:t>2</m:t>
                      </m:r>
                    </m:sup>
                  </m:sSubSup>
                  <m:r>
                    <m:rPr>
                      <m:sty m:val="p"/>
                    </m:rPr>
                    <m:t>+</m:t>
                  </m:r>
                  <m:sSubSup>
                    <m:e>
                      <m:r>
                        <m:rPr>
                          <m:sty m:val="p"/>
                        </m:rPr>
                        <m:t>S</m:t>
                      </m:r>
                      <m:r>
                        <m:rPr>
                          <m:sty m:val="p"/>
                        </m:rPr>
                        <m:t>E</m:t>
                      </m:r>
                    </m:e>
                    <m:sub>
                      <m:r>
                        <m:t>1</m:t>
                      </m:r>
                      <m:r>
                        <m:rPr>
                          <m:sty m:val="p"/>
                        </m:rPr>
                        <m:t>,</m:t>
                      </m:r>
                      <m:r>
                        <m:t>2024</m:t>
                      </m:r>
                    </m:sub>
                    <m:sup>
                      <m:r>
                        <m:t>2</m:t>
                      </m:r>
                    </m:sup>
                  </m:sSubSup>
                </m:e>
              </m:rad>
            </m:den>
          </m:f>
        </m:oMath>
      </m:oMathPara>
    </w:p>
    <w:p>
      <w:pPr>
        <w:pStyle w:val="FirstParagraph"/>
      </w:pPr>
      <w:r>
        <w:t xml:space="preserve">(Paternoster et al., 1998), tương tự cho</w:t>
      </w:r>
      <w:r>
        <w:t xml:space="preserve"> </w:t>
      </w:r>
      <m:oMath>
        <m:sSub>
          <m:e>
            <m:r>
              <m:t>β</m:t>
            </m:r>
          </m:e>
          <m:sub>
            <m:r>
              <m:t>2</m:t>
            </m:r>
          </m:sub>
        </m:sSub>
      </m:oMath>
      <w:r>
        <w:t xml:space="preserve"> </w:t>
      </w:r>
      <w:r>
        <w:t xml:space="preserve">(</w:t>
      </w:r>
      <m:oMath>
        <m:sSup>
          <m:e>
            <m:r>
              <m:rPr>
                <m:sty m:val="p"/>
              </m:rPr>
              <m:t>F</m:t>
            </m:r>
            <m:r>
              <m:rPr>
                <m:sty m:val="p"/>
              </m:rPr>
              <m:t>S</m:t>
            </m:r>
            <m:r>
              <m:rPr>
                <m:sty m:val="p"/>
              </m:rPr>
              <m:t>T</m:t>
            </m:r>
            <m:r>
              <m:rPr>
                <m:sty m:val="p"/>
              </m:rPr>
              <m:t>S</m:t>
            </m:r>
          </m:e>
          <m:sup>
            <m:r>
              <m:t>2</m:t>
            </m:r>
          </m:sup>
        </m:sSup>
      </m:oMath>
      <w:r>
        <w:t xml:space="preserve">).</w:t>
      </w:r>
    </w:p>
    <w:p>
      <w:pPr>
        <w:pStyle w:val="BodyText"/>
      </w:pPr>
      <w:r>
        <w:rPr>
          <w:bCs/>
          <w:b/>
        </w:rPr>
        <w:t xml:space="preserve">M6 (Điều tiết ba chiều, kiểm định H3/H4a/H4b):</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sSub>
                      <m:e>
                        <m:r>
                          <m:rPr>
                            <m:sty m:val="p"/>
                          </m:rPr>
                          <m:t>T</m:t>
                        </m:r>
                        <m:r>
                          <m:rPr>
                            <m:sty m:val="p"/>
                          </m:rPr>
                          <m:t>C</m:t>
                        </m:r>
                        <m:r>
                          <m:rPr>
                            <m:sty m:val="p"/>
                          </m:rPr>
                          <m:t>I</m:t>
                        </m:r>
                      </m:e>
                      <m:sub>
                        <m:r>
                          <m:t>z</m:t>
                        </m:r>
                        <m:r>
                          <m:rPr>
                            <m:sty m:val="p"/>
                          </m:rPr>
                          <m:t>,</m:t>
                        </m:r>
                        <m:r>
                          <m:t>i</m:t>
                        </m:r>
                        <m:r>
                          <m:t>t</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rPr>
                            <m:sty m:val="p"/>
                          </m:rPr>
                          <m:t>T</m:t>
                        </m:r>
                        <m:r>
                          <m:rPr>
                            <m:sty m:val="p"/>
                          </m:rPr>
                          <m:t>C</m:t>
                        </m:r>
                        <m:r>
                          <m:rPr>
                            <m:sty m:val="p"/>
                          </m:rPr>
                          <m:t>I</m:t>
                        </m:r>
                      </m:e>
                      <m:sub>
                        <m:r>
                          <m:t>z</m:t>
                        </m:r>
                        <m:r>
                          <m:rPr>
                            <m:sty m:val="p"/>
                          </m:rPr>
                          <m:t>,</m:t>
                        </m:r>
                        <m:r>
                          <m:t>i</m:t>
                        </m:r>
                        <m:r>
                          <m:t>t</m:t>
                        </m:r>
                      </m:sub>
                    </m:sSub>
                  </m:e>
                </m:d>
              </m:e>
            </m:mr>
            <m:mr>
              <m:e/>
              <m:e>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r>
                      <m:rPr>
                        <m:sty m:val="p"/>
                      </m:rPr>
                      <m:t>w</m:t>
                    </m:r>
                    <m:r>
                      <m:rPr>
                        <m:sty m:val="p"/>
                      </m:rPr>
                      <m:t>a</m:t>
                    </m:r>
                    <m:r>
                      <m:rPr>
                        <m:sty m:val="p"/>
                      </m:rPr>
                      <m:t>v</m:t>
                    </m:r>
                    <m:r>
                      <m:rPr>
                        <m:sty m:val="p"/>
                      </m:rPr>
                      <m:t>e</m:t>
                    </m:r>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p"/>
                      </m:rPr>
                      <m:t>w</m:t>
                    </m:r>
                    <m:r>
                      <m:rPr>
                        <m:sty m:val="p"/>
                      </m:rPr>
                      <m:t>a</m:t>
                    </m:r>
                    <m:r>
                      <m:rPr>
                        <m:sty m:val="p"/>
                      </m:rPr>
                      <m:t>v</m:t>
                    </m:r>
                    <m:r>
                      <m:rPr>
                        <m:sty m:val="p"/>
                      </m:rPr>
                      <m:t>e</m:t>
                    </m:r>
                  </m:e>
                </m:d>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e>
            </m:mr>
          </m:m>
        </m:oMath>
      </m:oMathPara>
    </w:p>
    <w:p>
      <w:pPr>
        <w:pStyle w:val="FirstParagraph"/>
      </w:pPr>
      <w:r>
        <w:t xml:space="preserve">F-tests: F1 (dịch chuyển độ cong xuyên sóng), F2 (điều tiết năng lực), F3 (dịch chuyển điều kiện). Kết quả:</w:t>
      </w:r>
      <w:r>
        <w:t xml:space="preserve"> </w:t>
      </w:r>
      <m:oMath>
        <m:sSub>
          <m:e>
            <m:r>
              <m:t>F</m:t>
            </m:r>
          </m:e>
          <m:sub>
            <m:r>
              <m:t>2</m:t>
            </m:r>
          </m:sub>
        </m:sSub>
        <m:r>
          <m:rPr>
            <m:sty m:val="p"/>
          </m:rPr>
          <m:t>=</m:t>
        </m:r>
        <m:r>
          <m:t>3</m:t>
        </m:r>
        <m:r>
          <m:rPr>
            <m:sty m:val="p"/>
          </m:rPr>
          <m:t>,</m:t>
        </m:r>
        <m:r>
          <m:t>26</m:t>
        </m:r>
      </m:oMath>
      <w:r>
        <w:t xml:space="preserve"> </w:t>
      </w:r>
      <w:r>
        <w:t xml:space="preserve">(</w:t>
      </w:r>
      <m:oMath>
        <m:r>
          <m:t>p</m:t>
        </m:r>
        <m:r>
          <m:rPr>
            <m:sty m:val="p"/>
          </m:rPr>
          <m:t>=</m:t>
        </m:r>
        <m:r>
          <m:t>0</m:t>
        </m:r>
        <m:r>
          <m:rPr>
            <m:sty m:val="p"/>
          </m:rPr>
          <m:t>,</m:t>
        </m:r>
        <m:r>
          <m:t>039</m:t>
        </m:r>
      </m:oMath>
      <w:r>
        <w:t xml:space="preserve">, không qua Bonferroni</w:t>
      </w:r>
      <w:r>
        <w:t xml:space="preserve"> </w:t>
      </w:r>
      <m:oMath>
        <m:sSup>
          <m:e>
            <m:r>
              <m:t>α</m:t>
            </m:r>
          </m:e>
          <m:sup>
            <m:r>
              <m:rPr>
                <m:sty m:val="p"/>
              </m:rPr>
              <m:t>*</m:t>
            </m:r>
          </m:sup>
        </m:sSup>
        <m:r>
          <m:rPr>
            <m:sty m:val="p"/>
          </m:rPr>
          <m:t>=</m:t>
        </m:r>
        <m:r>
          <m:t>0</m:t>
        </m:r>
        <m:r>
          <m:rPr>
            <m:sty m:val="p"/>
          </m:rPr>
          <m:t>,</m:t>
        </m:r>
        <m:r>
          <m:t>017</m:t>
        </m:r>
      </m:oMath>
      <w:r>
        <w:t xml:space="preserve">), do đó H4b (không có điều tiết độ cong theo năng lực) được chấp nhận.</w:t>
      </w:r>
    </w:p>
    <w:p>
      <w:pPr>
        <w:pStyle w:val="BodyText"/>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Phi tuyến (H1)</w:t>
            </w:r>
          </w:p>
        </w:tc>
      </w:tr>
      <w:tr>
        <w:tc>
          <w:tcPr/>
          <w:p>
            <w:pPr>
              <w:pStyle w:val="Compact"/>
              <w:jc w:val="left"/>
            </w:pPr>
            <w:r>
              <w:t xml:space="preserve">TCI_z</w:t>
            </w:r>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c22b₀₁:</w:t>
            </w:r>
            <w:r>
              <w:t xml:space="preserve"> </w:t>
            </w:r>
            <w:r>
              <w:rPr>
                <w:bCs/>
                <w:b/>
              </w:rPr>
              <w:t xml:space="preserve">Bậc 1 đơn biến</w:t>
            </w:r>
            <w:r>
              <w:t xml:space="preserve"> </w:t>
            </w:r>
            <w:r>
              <w:t xml:space="preserve">(binary)</w:t>
            </w:r>
          </w:p>
        </w:tc>
        <w:tc>
          <w:tcPr/>
          <w:p>
            <w:pPr>
              <w:pStyle w:val="Compact"/>
              <w:jc w:val="left"/>
            </w:pPr>
            <w:r>
              <w:t xml:space="preserve">Số hoá Bậc 1 mỏng (kiểm soát)</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lõi panel</w:t>
      </w:r>
      <w:r>
        <w:rPr>
          <w:iCs/>
          <w:i/>
        </w:rPr>
        <w:t xml:space="preserve">”</w:t>
      </w:r>
      <w:r>
        <w:rPr>
          <w:iCs/>
          <w:i/>
        </w:rPr>
        <w:t xml:space="preserve">) tạo thêm nhận dạng biến thiên trong mẫu trong khi sai số chuẩn gom cụm theo idstd xử lý tương quan nội nhóm. DAI Trung Quốc chỉ là Bậc 1 đơn biến, không đủ để kiểm định CDCM; hàm ý chính sách và lý thuyết khác với P4 Singapore (Bậc 1 và 2).</w:t>
      </w:r>
    </w:p>
    <w:p>
      <w:r>
        <w:pict>
          <v:rect style="width:0;height:1.5pt" o:hralign="center" o:hrstd="t" o:hr="t"/>
        </w:pict>
      </w:r>
    </w:p>
    <w:bookmarkEnd w:id="125"/>
    <w:bookmarkStart w:id="131"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biến:</w:t>
      </w:r>
    </w:p>
    <w:p>
      <w:pPr>
        <w:numPr>
          <w:ilvl w:val="0"/>
          <w:numId w:val="1012"/>
        </w:numPr>
        <w:pStyle w:val="Compact"/>
      </w:pPr>
      <w:r>
        <w:rPr>
          <w:bCs/>
          <w:b/>
        </w:rPr>
        <w:t xml:space="preserve">lnLP_it</w:t>
      </w:r>
      <w:r>
        <w:t xml:space="preserve">: ln(năng suất lao động) = ln(doanh thu / lao động thường trực), biến phụ thuộc</w:t>
      </w:r>
    </w:p>
    <w:p>
      <w:pPr>
        <w:numPr>
          <w:ilvl w:val="0"/>
          <w:numId w:val="1012"/>
        </w:numPr>
        <w:pStyle w:val="Compact"/>
      </w:pPr>
      <w:r>
        <w:rPr>
          <w:bCs/>
          <w:b/>
        </w:rPr>
        <w:t xml:space="preserve">FSTS_c_it</w:t>
      </w:r>
      <w:r>
        <w:t xml:space="preserve">: cường độ xuất khẩu mean-centred, FSTS_c = (d3c/100) − mean_pool(FSTS)</w:t>
      </w:r>
    </w:p>
    <w:p>
      <w:pPr>
        <w:numPr>
          <w:ilvl w:val="0"/>
          <w:numId w:val="1012"/>
        </w:numPr>
        <w:pStyle w:val="Compact"/>
      </w:pPr>
      <w:r>
        <w:rPr>
          <w:bCs/>
          <w:b/>
        </w:rPr>
        <w:t xml:space="preserve">FSTS_c²_it</w:t>
      </w:r>
      <w:r>
        <w:t xml:space="preserve">: FSTS_c bình phương, kiểm định phi tuyến</w:t>
      </w:r>
    </w:p>
    <w:p>
      <w:pPr>
        <w:numPr>
          <w:ilvl w:val="0"/>
          <w:numId w:val="1012"/>
        </w:numPr>
        <w:pStyle w:val="Compact"/>
      </w:pPr>
      <w:r>
        <w:rPr>
          <w:bCs/>
          <w:b/>
        </w:rPr>
        <w:t xml:space="preserve">TCI_z_it</w:t>
      </w:r>
      <w:r>
        <w:t xml:space="preserve">: năng lực công nghệ z-standardised, TCI_z = chuẩn hóa z(b8, e6)</w:t>
      </w:r>
    </w:p>
    <w:p>
      <w:pPr>
        <w:numPr>
          <w:ilvl w:val="0"/>
          <w:numId w:val="1012"/>
        </w:numPr>
        <w:pStyle w:val="Compact"/>
      </w:pPr>
      <w:r>
        <w:rPr>
          <w:bCs/>
          <w:b/>
        </w:rPr>
        <w:t xml:space="preserve">DAI_z_it</w:t>
      </w:r>
      <w:r>
        <w:t xml:space="preserve">: chỉ số số hoá z-standardised, DAI_z = chuẩn hóa z(website + e-pay, Bậc 1 và 2: c22b/e1, k33)</w:t>
      </w:r>
    </w:p>
    <w:p>
      <w:pPr>
        <w:numPr>
          <w:ilvl w:val="0"/>
          <w:numId w:val="1012"/>
        </w:numPr>
        <w:pStyle w:val="Compact"/>
      </w:pPr>
      <w:r>
        <w:rPr>
          <w:bCs/>
          <w:b/>
        </w:rPr>
        <w:t xml:space="preserve">MgrExp_it</w:t>
      </w:r>
      <w:r>
        <w:t xml:space="preserve">: kinh nghiệm nhà quản lý trong ngành (năm, b7)</w:t>
      </w:r>
    </w:p>
    <w:p>
      <w:pPr>
        <w:numPr>
          <w:ilvl w:val="0"/>
          <w:numId w:val="1012"/>
        </w:numPr>
        <w:pStyle w:val="Compact"/>
      </w:pPr>
      <w:r>
        <w:rPr>
          <w:bCs/>
          <w:b/>
        </w:rPr>
        <w:t xml:space="preserve">MgrFem_it</w:t>
      </w:r>
      <w:r>
        <w:t xml:space="preserve">: top manager là nữ (binary, b7a/b6a)</w:t>
      </w:r>
    </w:p>
    <w:p>
      <w:pPr>
        <w:numPr>
          <w:ilvl w:val="0"/>
          <w:numId w:val="1012"/>
        </w:numPr>
        <w:pStyle w:val="Compact"/>
      </w:pPr>
      <w:r>
        <w:rPr>
          <w:bCs/>
          <w:b/>
        </w:rPr>
        <w:t xml:space="preserve">ICRV_j</w:t>
      </w:r>
      <w:r>
        <w:t xml:space="preserve">: phân loại chế độ thể chế ICRV (integer 1–6, Advanced sang SIDS)</w:t>
      </w:r>
    </w:p>
    <w:p>
      <w:pPr>
        <w:numPr>
          <w:ilvl w:val="0"/>
          <w:numId w:val="1012"/>
        </w:numPr>
        <w:pStyle w:val="Compact"/>
      </w:pPr>
      <w:r>
        <w:rPr>
          <w:bCs/>
          <w:b/>
        </w:rPr>
        <w:t xml:space="preserve">lnL_it</w:t>
      </w:r>
      <w:r>
        <w:t xml:space="preserve">: ln(lao động thường trực), kiểm soát quy mô doanh nghiệp</w:t>
      </w:r>
    </w:p>
    <w:p>
      <w:pPr>
        <w:numPr>
          <w:ilvl w:val="0"/>
          <w:numId w:val="1012"/>
        </w:numPr>
        <w:pStyle w:val="Compact"/>
      </w:pPr>
      <w:r>
        <w:rPr>
          <w:bCs/>
          <w:b/>
        </w:rPr>
        <w:t xml:space="preserve">Age_it</w:t>
      </w:r>
      <w:r>
        <w:t xml:space="preserve">: tuổi doanh nghiệp (năm_khảo_sát − b5)</w:t>
      </w:r>
    </w:p>
    <w:p>
      <w:pPr>
        <w:numPr>
          <w:ilvl w:val="0"/>
          <w:numId w:val="1012"/>
        </w:numPr>
        <w:pStyle w:val="Compact"/>
      </w:pPr>
      <w:r>
        <w:rPr>
          <w:bCs/>
          <w:b/>
        </w:rPr>
        <w:t xml:space="preserve">Own_it</w:t>
      </w:r>
      <w:r>
        <w:t xml:space="preserve">: tỷ lệ sở hữu nước ngoài (b6a/100)</w:t>
      </w:r>
    </w:p>
    <w:p>
      <w:pPr>
        <w:numPr>
          <w:ilvl w:val="0"/>
          <w:numId w:val="1012"/>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(mô hình tuyến tính cơ sở):</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ε</m:t>
              </m:r>
            </m:e>
            <m:sub>
              <m:r>
                <m:t>i</m:t>
              </m:r>
              <m:r>
                <m:t>t</m:t>
              </m:r>
            </m:sub>
          </m:sSub>
        </m:oMath>
      </m:oMathPara>
    </w:p>
    <w:p>
      <w:pPr>
        <w:pStyle w:val="FirstParagraph"/>
      </w:pPr>
      <m:oMathPara>
        <m:oMathParaPr>
          <m:jc m:val="center"/>
        </m:oMathParaP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rPr>
              <m:sty m:val="p"/>
            </m:rPr>
            <m:t>T</m:t>
          </m:r>
          <m:r>
            <m:rPr>
              <m:sty m:val="p"/>
            </m:rP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rPr>
              <m:sty m:val="p"/>
            </m:rPr>
            <m:t>T</m:t>
          </m:r>
          <m:r>
            <m:rPr>
              <m:sty m:val="p"/>
            </m:rP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TCI, kiểm định H2):</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oMath>
      </m:oMathPara>
    </w:p>
    <w:p>
      <w:pPr>
        <w:pStyle w:val="FirstParagraph"/>
      </w:pPr>
      <m:oMathPara>
        <m:oMathParaPr>
          <m:jc m:val="center"/>
        </m:oMathParaPr>
        <m:oMath>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w:r>
        <w:rPr>
          <w:bCs/>
          <w:b/>
        </w:rPr>
        <w:t xml:space="preserve">M8</w:t>
      </w:r>
      <w:r>
        <w:t xml:space="preserve"> </w:t>
      </w:r>
      <w:r>
        <w:t xml:space="preserve">(M7 + điều tiết DAI, kiểm định H3):</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sSub>
            <m:e>
              <m:r>
                <m:t>β</m:t>
              </m:r>
            </m:e>
            <m:sub>
              <m:r>
                <m:t>11</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M</m:t>
              </m:r>
              <m:r>
                <m:rPr>
                  <m:sty m:val="p"/>
                </m:rPr>
                <m:t>g</m:t>
              </m:r>
              <m:r>
                <m:rPr>
                  <m:sty m:val="p"/>
                </m:rPr>
                <m:t>r</m:t>
              </m:r>
              <m:r>
                <m:rPr>
                  <m:sty m:val="p"/>
                </m:rPr>
                <m:t>E</m:t>
              </m:r>
              <m:r>
                <m:rPr>
                  <m:sty m:val="p"/>
                </m:rPr>
                <m:t>x</m:t>
              </m:r>
              <m:r>
                <m:rPr>
                  <m:sty m:val="p"/>
                </m:rPr>
                <m:t>p</m:t>
              </m:r>
            </m:e>
          </m:d>
          <m:r>
            <m:rPr>
              <m:sty m:val="p"/>
            </m:rPr>
            <m:t>+</m:t>
          </m:r>
          <m:r>
            <m:rPr>
              <m:sty m:val="b"/>
            </m:rPr>
            <m:t>γ</m:t>
          </m:r>
          <m:r>
            <m:rPr>
              <m:sty m:val="b"/>
            </m:rP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nor/>
              <m:sty m:val="p"/>
            </m:rPr>
            <m:t> (nữ quản lý cấp cao: hệ số mức âm;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11</m:t>
              </m:r>
            </m:sub>
          </m:sSub>
          <m:sSub>
            <m:e>
              <m:r>
                <m:rPr>
                  <m:sty m:val="p"/>
                </m:rPr>
                <m:t>I</m:t>
              </m:r>
              <m:r>
                <m:rPr>
                  <m:sty m:val="p"/>
                </m:rPr>
                <m:t>C</m:t>
              </m:r>
              <m:r>
                <m:rPr>
                  <m:sty m:val="p"/>
                </m:rPr>
                <m:t>R</m:t>
              </m:r>
              <m:r>
                <m:rPr>
                  <m:sty m:val="p"/>
                </m:rP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rPr>
                        <m:sty m:val="p"/>
                      </m:rPr>
                      <m:t>T</m:t>
                    </m:r>
                    <m:r>
                      <m:rPr>
                        <m:sty m:val="p"/>
                      </m:rP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mất cấu trúc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r>
            <m:rPr>
              <m:sty m:val="p"/>
            </m:rPr>
            <m:t>+</m:t>
          </m:r>
          <m:sSub>
            <m:e>
              <m:r>
                <m:t>β</m:t>
              </m:r>
            </m:e>
            <m:sub>
              <m:r>
                <m:t>11</m:t>
              </m:r>
            </m:sub>
          </m:sSub>
          <m:r>
            <m:rPr>
              <m:sty m:val="p"/>
            </m:rPr>
            <m:t>I</m:t>
          </m:r>
          <m:r>
            <m:rPr>
              <m:sty m:val="p"/>
            </m:rPr>
            <m:t>C</m:t>
          </m:r>
          <m:r>
            <m:rPr>
              <m:sty m:val="p"/>
            </m:rPr>
            <m:t>R</m:t>
          </m:r>
          <m:r>
            <m:rPr>
              <m:sty m:val="p"/>
            </m:rPr>
            <m:t>V</m:t>
          </m:r>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r>
                <m:rPr>
                  <m:sty m:val="p"/>
                </m:rPr>
                <m:t>×</m:t>
              </m:r>
              <m:r>
                <m:rPr>
                  <m:sty m:val="p"/>
                </m:rPr>
                <m:t>I</m:t>
              </m:r>
              <m:r>
                <m:rPr>
                  <m:sty m:val="p"/>
                </m:rPr>
                <m:t>C</m:t>
              </m:r>
              <m:r>
                <m:rPr>
                  <m:sty m:val="p"/>
                </m:rPr>
                <m:t>R</m:t>
              </m:r>
              <m:r>
                <m:rPr>
                  <m:sty m:val="p"/>
                </m:rPr>
                <m:t>V</m:t>
              </m:r>
            </m:e>
          </m:d>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r>
            <m:rPr>
              <m:sty m:val="b"/>
            </m:rPr>
            <m:t>γ</m:t>
          </m:r>
          <m:r>
            <m:rPr>
              <m:sty m:val="b"/>
            </m:rP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m:t>
                </m:r>
                <m:r>
                  <m:rPr>
                    <m:sty m:val="p"/>
                  </m:rPr>
                  <m:t>F</m:t>
                </m:r>
                <m:r>
                  <m:rPr>
                    <m:sty m:val="p"/>
                  </m:rPr>
                  <m:t>S</m:t>
                </m:r>
                <m:r>
                  <m:rPr>
                    <m:sty m:val="p"/>
                  </m:rPr>
                  <m:t>T</m:t>
                </m:r>
                <m:r>
                  <m:rPr>
                    <m:sty m:val="p"/>
                  </m:rPr>
                  <m: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rPr>
                    <m:sty m:val="p"/>
                  </m:rPr>
                  <m:t>T</m:t>
                </m:r>
                <m:r>
                  <m:rPr>
                    <m:sty m:val="p"/>
                  </m:rP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I, phi tuyến</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DAI_z</w:t>
            </w:r>
          </w:p>
        </w:tc>
        <w:tc>
          <w:tcPr/>
          <w:p>
            <w:pPr>
              <w:pStyle w:val="Compact"/>
              <w:jc w:val="left"/>
            </w:pPr>
            <w:r>
              <w:t xml:space="preserve">c22b/e1, k33</w:t>
            </w:r>
          </w:p>
        </w:tc>
        <w:tc>
          <w:tcPr/>
          <w:p>
            <w:pPr>
              <w:pStyle w:val="Compact"/>
              <w:jc w:val="left"/>
            </w:pPr>
            <w:r>
              <w:t xml:space="preserve">chuẩn hóa z(website + thanh toán điện tử): Bậc 1 và 2</w:t>
            </w:r>
          </w:p>
        </w:tc>
        <w:tc>
          <w:tcPr/>
          <w:p>
            <w:pPr>
              <w:pStyle w:val="Compact"/>
              <w:jc w:val="left"/>
            </w:pPr>
            <w:r>
              <w:t xml:space="preserve">Số hoá (DAI)</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Bậc 1 và 2 khi k33 có mặt, Bậc 1 only khi thiếu, khác với P3 Vietnam (chỉ Bậc 1) và đồng nhất với P4 Singapore (Bậc 1 và 2). ICRV là biến điều tiết liên tục (integer), không phải dummies, nhằm giữ N đủ lớn trong M10–M11.</w:t>
      </w:r>
    </w:p>
    <w:p>
      <w:r>
        <w:pict>
          <v:rect style="width:0;height:1.5pt" o:hralign="center" o:hrstd="t" o:hr="t"/>
        </w:pict>
      </w:r>
    </w:p>
    <w:bookmarkStart w:id="126" w:name="X95586c41a60b4b828f7adafd474d02ef9cccc41"/>
    <w:p>
      <w:pPr>
        <w:pStyle w:val="Heading4"/>
      </w:pPr>
      <w:r>
        <w:t xml:space="preserve">3.4.5.5 Mô hình cụ thể: Nghiên cứu 8: đảo nhỏ Thái Bình Dương (N = 1.450, Nhóm VI)</w:t>
      </w:r>
    </w:p>
    <w:p>
      <w:pPr>
        <w:pStyle w:val="FirstParagraph"/>
      </w:pPr>
      <w:r>
        <w:t xml:space="preserve">Nghiên cứu 8 phân tích mẫu gồm</w:t>
      </w:r>
      <w:r>
        <w:t xml:space="preserve"> </w:t>
      </w:r>
      <w:r>
        <w:rPr>
          <w:bCs/>
          <w:b/>
        </w:rPr>
        <w:t xml:space="preserve">N = 1.450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212 doanh nghiệp có hoạt động xuất khẩu</w:t>
      </w:r>
      <w:r>
        <w:t xml:space="preserve"> </w:t>
      </w:r>
      <w:r>
        <w:t xml:space="preserve">(14,6%),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Tại Nhóm VI, dạng hình chữ U ngược</w:t>
      </w:r>
      <w:r>
        <w:t xml:space="preserve"> </w:t>
      </w:r>
      <w:r>
        <w:rPr>
          <w:bCs/>
          <w:b/>
        </w:rPr>
        <w:t xml:space="preserve">mất cấu trúc</w:t>
      </w:r>
      <w:r>
        <w:t xml:space="preserve">: trên mẫu đầy đủ bảy nền (N = 1.450), cả số hạng tuyến tính lẫn bậc hai đều mất ý nghĩa khi đưa vào đồng thời và cả bốn điều kiện cần của một đường cong chữ U ngược đều thất bại (xem Chương 4, Mục 4.7.2 và 4.7.6), nên quan hệ là</w:t>
      </w:r>
      <w:r>
        <w:t xml:space="preserve"> </w:t>
      </w:r>
      <w:r>
        <w:rPr>
          <w:bCs/>
          <w:b/>
        </w:rPr>
        <w:t xml:space="preserve">đơn điệu âm về xu hướng</w:t>
      </w:r>
      <w:r>
        <w:t xml:space="preserve">, không có điểm quay nội miền, trái ngược với hình chữ U ngược ở P3–P7. Hệ số FIP âm</w:t>
      </w:r>
      <w:r>
        <w:t xml:space="preserve"> </w:t>
      </w:r>
      <w:r>
        <w:rPr>
          <w:bCs/>
          <w:b/>
        </w:rPr>
        <w:t xml:space="preserve">mạnh, có ý nghĩa</w:t>
      </w:r>
      <w:r>
        <w:t xml:space="preserve"> </w:t>
      </w:r>
      <w:r>
        <w:t xml:space="preserve">(</w:t>
      </w:r>
      <m:oMath>
        <m:sSub>
          <m:e>
            <m:r>
              <m:t>β</m:t>
            </m:r>
          </m:e>
          <m:sub>
            <m:r>
              <m:t>1</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ghi nhận trên</w:t>
      </w:r>
      <w:r>
        <w:t xml:space="preserve"> </w:t>
      </w:r>
      <w:r>
        <w:rPr>
          <w:bCs/>
          <w:b/>
        </w:rPr>
        <w:t xml:space="preserve">phiên bản dữ liệu gốc / bản dựng hạn chế</w:t>
      </w:r>
      <w:r>
        <w:t xml:space="preserve"> </w:t>
      </w:r>
      <w:r>
        <w:t xml:space="preserve">(N = 959; lõi ba nền có đủ kiểm soát đợt trước 2018: N = 209) và được trình bày như bằng chứng độ vững nội bộ ở Chương 4 (Mục 4.7.7–4.7.8).</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lnLP</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nội tệ / lao động thường trực)</w:t>
            </w:r>
          </w:p>
        </w:tc>
      </w:tr>
      <w:tr>
        <w:tc>
          <w:tcPr/>
          <w:p>
            <w:pPr>
              <w:pStyle w:val="Compact"/>
              <w:jc w:val="left"/>
            </w:pPr>
            <w:r>
              <w:t xml:space="preserve">FSTS_c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FSTS_c²</w:t>
            </w:r>
          </w:p>
        </w:tc>
        <w:tc>
          <w:tcPr/>
          <w:p>
            <w:pPr>
              <w:pStyle w:val="Compact"/>
              <w:jc w:val="left"/>
            </w:pPr>
            <w:r>
              <w:t xml:space="preserve">FSTS_c bình phương</w:t>
            </w:r>
          </w:p>
        </w:tc>
        <w:tc>
          <w:tcPr/>
          <w:p>
            <w:pPr>
              <w:pStyle w:val="Compact"/>
              <w:jc w:val="left"/>
            </w:pPr>
            <w:r>
              <w:t xml:space="preserve">d3c</w:t>
            </w:r>
          </w:p>
        </w:tc>
        <w:tc>
          <w:tcPr/>
          <w:p>
            <w:pPr>
              <w:pStyle w:val="Compact"/>
              <w:jc w:val="left"/>
            </w:pPr>
            <w:r>
              <w:t xml:space="preserve">FSTS_c × FSTS_c</w:t>
            </w:r>
          </w:p>
        </w:tc>
      </w:tr>
      <w:tr>
        <w:tc>
          <w:tcPr/>
          <w:p>
            <w:pPr>
              <w:pStyle w:val="Compact"/>
              <w:jc w:val="left"/>
            </w:pPr>
            <w:r>
              <w:t xml:space="preserve">TCI_z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w:r>
              <w:t xml:space="preserve">DAI_z</w:t>
            </w:r>
          </w:p>
        </w:tc>
        <w:tc>
          <w:tcPr/>
          <w:p>
            <w:pPr>
              <w:pStyle w:val="Compact"/>
              <w:jc w:val="left"/>
            </w:pPr>
            <w:r>
              <w:t xml:space="preserve">Chỉ số số hoá (Bậc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Bậc 1, không dynamic</w:t>
            </w:r>
          </w:p>
        </w:tc>
      </w:tr>
      <w:tr>
        <w:tc>
          <w:tcPr/>
          <w:p>
            <w:pPr>
              <w:pStyle w:val="Compact"/>
              <w:jc w:val="left"/>
            </w:pPr>
            <w:r>
              <w:t xml:space="preserve">lnL</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Age</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Own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DAI là biến đại diện tĩnh Bậc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phiên bản dữ liệu gốc, </m:t>
              </m:r>
              <m:r>
                <m:t>N</m:t>
              </m:r>
              <m:r>
                <m:rPr>
                  <m:sty m:val="p"/>
                </m:rPr>
                <m:t>=</m:t>
              </m:r>
              <m:r>
                <m:t>959</m:t>
              </m:r>
            </m:e>
          </m:d>
          <m:r>
            <m:rPr>
              <m:sty m:val="p"/>
            </m:rPr>
            <m:t>⇒</m:t>
          </m:r>
          <m:r>
            <m:rPr>
              <m:nor/>
              <m:sty m:val="b"/>
            </m:rPr>
            <m:t>FIP (bản dựng gốc)</m:t>
          </m:r>
        </m:oMath>
      </m:oMathPara>
    </w:p>
    <w:p>
      <w:pPr>
        <w:pStyle w:val="FirstParagraph"/>
      </w:pPr>
      <w:r>
        <w:t xml:space="preserve">M2, Kiểm định phi tuyến: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sSub>
                  <m:e>
                    <m:r>
                      <m:rPr>
                        <m:sty m:val="p"/>
                      </m:rPr>
                      <m:t>T</m:t>
                    </m:r>
                    <m:r>
                      <m:rPr>
                        <m:sty m:val="p"/>
                      </m:rPr>
                      <m:t>C</m:t>
                    </m:r>
                    <m:r>
                      <m:rPr>
                        <m:sty m:val="p"/>
                      </m:rPr>
                      <m:t>I</m:t>
                    </m:r>
                  </m:e>
                  <m:sub>
                    <m:r>
                      <m:t>z</m:t>
                    </m:r>
                    <m:r>
                      <m:rPr>
                        <m:sty m:val="p"/>
                      </m:rPr>
                      <m:t>,</m:t>
                    </m:r>
                    <m:r>
                      <m:t>i</m:t>
                    </m:r>
                    <m:r>
                      <m:t>t</m:t>
                    </m:r>
                  </m:sub>
                </m:sSub>
              </m:e>
            </m:mr>
            <m:mr>
              <m:e/>
              <m:e>
                <m:r>
                  <m:rPr>
                    <m:sty m:val="p"/>
                  </m:rPr>
                  <m:t>+</m:t>
                </m:r>
                <m:sSub>
                  <m:e>
                    <m:r>
                      <m:t>β</m:t>
                    </m:r>
                  </m:e>
                  <m:sub>
                    <m:r>
                      <m:t>4</m:t>
                    </m:r>
                  </m:sub>
                </m:sSub>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sSub>
                      <m:e>
                        <m:r>
                          <m:rPr>
                            <m:sty m:val="p"/>
                          </m:rPr>
                          <m:t>T</m:t>
                        </m:r>
                        <m:r>
                          <m:rPr>
                            <m:sty m:val="p"/>
                          </m:rPr>
                          <m:t>C</m:t>
                        </m:r>
                        <m:r>
                          <m:rPr>
                            <m:sty m:val="p"/>
                          </m:rPr>
                          <m:t>I</m:t>
                        </m:r>
                      </m:e>
                      <m:sub>
                        <m:r>
                          <m:t>z</m:t>
                        </m:r>
                      </m:sub>
                    </m:sSub>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sSub>
                      <m:e>
                        <m:r>
                          <m:rPr>
                            <m:sty m:val="p"/>
                          </m:rPr>
                          <m:t>D</m:t>
                        </m:r>
                        <m:r>
                          <m:rPr>
                            <m:sty m:val="p"/>
                          </m:rPr>
                          <m:t>A</m:t>
                        </m:r>
                        <m:r>
                          <m:rPr>
                            <m:sty m:val="p"/>
                          </m:rPr>
                          <m:t>I</m:t>
                        </m:r>
                      </m:e>
                      <m:sub>
                        <m:r>
                          <m:t>z</m:t>
                        </m:r>
                      </m:sub>
                    </m:sSub>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Mô hình</w:t>
            </w:r>
          </w:p>
        </w:tc>
        <w:tc>
          <w:tcPr/>
          <w:p>
            <w:pPr>
              <w:pStyle w:val="Compact"/>
              <w:jc w:val="left"/>
            </w:pPr>
            <m:oMath>
              <m:r>
                <m:t>β</m:t>
              </m:r>
              <m:d>
                <m:dPr>
                  <m:begChr m:val="("/>
                  <m:endChr m:val=")"/>
                  <m:sepChr m:val=""/>
                  <m:grow/>
                </m:dPr>
                <m:e>
                  <m:sSub>
                    <m:e>
                      <m:r>
                        <m:rPr>
                          <m:sty m:val="p"/>
                        </m:rPr>
                        <m:t>F</m:t>
                      </m:r>
                      <m:r>
                        <m:rPr>
                          <m:sty m:val="p"/>
                        </m:rPr>
                        <m:t>S</m:t>
                      </m:r>
                      <m:r>
                        <m:rPr>
                          <m:sty m:val="p"/>
                        </m:rPr>
                        <m:t>T</m:t>
                      </m:r>
                      <m:r>
                        <m:rPr>
                          <m:sty m:val="p"/>
                        </m:rPr>
                        <m:t>S</m:t>
                      </m:r>
                    </m:e>
                    <m:sub>
                      <m:r>
                        <m:t>c</m:t>
                      </m:r>
                    </m:sub>
                  </m:sSub>
                </m:e>
              </m:d>
            </m:oMath>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m:oMath>
              <m:r>
                <m:rPr>
                  <m:sty m:val="p"/>
                </m:rPr>
                <m:t>−</m:t>
              </m:r>
              <m:r>
                <m:t>1</m:t>
              </m:r>
              <m:r>
                <m:rPr>
                  <m:sty m:val="p"/>
                </m:rPr>
                <m:t>,</m:t>
              </m:r>
              <m:r>
                <m:t>339</m:t>
              </m:r>
            </m:oMath>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m:oMath>
              <m:r>
                <m:rPr>
                  <m:sty m:val="p"/>
                </m:rPr>
                <m:t>−</m:t>
              </m:r>
              <m:r>
                <m:t>3</m:t>
              </m:r>
              <m:r>
                <m:rPr>
                  <m:sty m:val="p"/>
                </m:rPr>
                <m:t>,</m:t>
              </m:r>
              <m:r>
                <m:t>351</m:t>
              </m:r>
            </m:oMath>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m:oMath>
              <m:r>
                <m:rPr>
                  <m:sty m:val="p"/>
                </m:rPr>
                <m:t>−</m:t>
              </m:r>
              <m:r>
                <m:t>0</m:t>
              </m:r>
              <m:r>
                <m:rPr>
                  <m:sty m:val="p"/>
                </m:rPr>
                <m:t>,</m:t>
              </m:r>
              <m:r>
                <m:t>864</m:t>
              </m:r>
            </m:oMath>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m:oMath>
              <m:r>
                <m:rPr>
                  <m:sty m:val="p"/>
                </m:rPr>
                <m:t>−</m:t>
              </m:r>
              <m:r>
                <m:t>1</m:t>
              </m:r>
              <m:r>
                <m:rPr>
                  <m:sty m:val="p"/>
                </m:rPr>
                <m:t>,</m:t>
              </m:r>
              <m:r>
                <m:t>176</m:t>
              </m:r>
            </m:oMath>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Bảng độ vững trên thuộc</w:t>
      </w:r>
      <w:r>
        <w:rPr>
          <w:iCs/>
          <w:i/>
        </w:rPr>
        <w:t xml:space="preserve"> </w:t>
      </w:r>
      <w:r>
        <w:rPr>
          <w:bCs/>
          <w:b/>
          <w:iCs/>
          <w:i/>
        </w:rPr>
        <w:t xml:space="preserve">phiên bản dữ liệu gốc</w:t>
      </w:r>
      <w:r>
        <w:rPr>
          <w:iCs/>
          <w:i/>
        </w:rPr>
        <w:t xml:space="preserve"> </w:t>
      </w:r>
      <w:r>
        <w:rPr>
          <w:iCs/>
          <w:i/>
        </w:rPr>
        <w:t xml:space="preserve">(N = 959); hệ số âm nhất quán về dấu qua các mô hình, suy luận FIP dựa chủ yếu vào các mô hình hiệu ứng cố định (M1, year-FE), trong khi chỉ doanh nghiệp xuất khẩu (N = 26) thiếu công suất thống kê. Trên mẫu đầy đủ bảy nền (N = 1.450), dạng đơn điệu âm vẫn là xu hướng nhưng các số hạng mất ý nghĩa thống kê khi đưa vào đồng thời (Chương 4, Mục 4.7.2).</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ln(doanh thu nội tệ / lao động)</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I, kiểm định phi tuyến</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chuẩn hóa z(website binary): Bậc 1 only</w:t>
            </w:r>
          </w:p>
        </w:tc>
        <w:tc>
          <w:tcPr/>
          <w:p>
            <w:pPr>
              <w:pStyle w:val="Compact"/>
              <w:jc w:val="left"/>
            </w:pPr>
            <w:r>
              <w:t xml:space="preserve">Số hoá, biến đại diện tĩnh</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bCs/>
          <w:b/>
        </w:rPr>
        <w:t xml:space="preserve">Cảnh báo công suất thống kê và phạm vi suy luận.</w:t>
      </w:r>
      <w:r>
        <w:t xml:space="preserve"> </w:t>
      </w:r>
      <w:r>
        <w:t xml:space="preserve">Mẫu Nghiên cứu 8 nhỏ và phân tán cao:</w:t>
      </w:r>
      <w:r>
        <w:t xml:space="preserve"> </w:t>
      </w:r>
      <m:oMath>
        <m:r>
          <m:t>N</m:t>
        </m:r>
        <m:r>
          <m:rPr>
            <m:sty m:val="p"/>
          </m:rPr>
          <m:t>=</m:t>
        </m:r>
        <m:r>
          <m:t>1.450</m:t>
        </m:r>
      </m:oMath>
      <w:r>
        <w:t xml:space="preserve"> </w:t>
      </w:r>
      <w:r>
        <w:t xml:space="preserve">trải trên 7 nền kinh tế phân cụm, trong đó chỉ 212 doanh nghiệp có hoạt động xuất khẩu (14,6%) và độ phân tán năng suất là cao nhất toàn mẫu gộp (độ lệch chuẩn ln(LP) ≈ 1,40; tỷ số P90/P10 ≈ 27 lần). Với cỡ mẫu xuất khẩu hữu hiệu nhỏ như vậy, công suất thống kê để phát hiện một độ cong bậc hai ở mức ý nghĩa thông thường ước tính</w:t>
      </w:r>
      <w:r>
        <w:t xml:space="preserve"> </w:t>
      </w:r>
      <w:r>
        <w:rPr>
          <w:bCs/>
          <w:b/>
        </w:rPr>
        <w:t xml:space="preserve">dưới 20%</w:t>
      </w:r>
      <w:r>
        <w:t xml:space="preserve">, nên việc các số hạng FSTS và FSTS² mất ý nghĩa khi đưa vào đồng thời cần được đọc là</w:t>
      </w:r>
      <w:r>
        <w:t xml:space="preserve"> </w:t>
      </w:r>
      <w:r>
        <w:rPr>
          <w:bCs/>
          <w:b/>
        </w:rPr>
        <w:t xml:space="preserve">thiếu công suất</w:t>
      </w:r>
      <w:r>
        <w:t xml:space="preserve">, không phải bằng chứng khẳng định không có quan hệ. Do đó FIP được định vị là phát hiện</w:t>
      </w:r>
      <w:r>
        <w:t xml:space="preserve"> </w:t>
      </w:r>
      <w:r>
        <w:rPr>
          <w:bCs/>
          <w:b/>
        </w:rPr>
        <w:t xml:space="preserve">sinh giả thuyết (hypothesis-generating)</w:t>
      </w:r>
      <w:r>
        <w:t xml:space="preserve"> </w:t>
      </w:r>
      <w:r>
        <w:t xml:space="preserve">hơn là</w:t>
      </w:r>
      <w:r>
        <w:t xml:space="preserve"> </w:t>
      </w:r>
      <w:r>
        <w:rPr>
          <w:bCs/>
          <w:b/>
        </w:rPr>
        <w:t xml:space="preserve">khẳng định giả thuyết</w:t>
      </w:r>
      <w:r>
        <w:t xml:space="preserve">, và hệ số âm</w:t>
      </w:r>
      <w:r>
        <w:t xml:space="preserve"> </w:t>
      </w:r>
      <m:oMath>
        <m:sSub>
          <m:e>
            <m:r>
              <m:t>β</m:t>
            </m:r>
          </m:e>
          <m:sub>
            <m:r>
              <m:t>1</m:t>
            </m:r>
          </m:sub>
        </m:sSub>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được hiểu là nhạy với cách dựng dữ liệu (chỉ vững trên bản dựng gốc N = 959, không trên mẫu đầy đủ bảy nền). Cách đọc thận trọng này được nhắc lại ở phần mở đầu kết quả P8 (Chương 4, Mục 4.7).</w:t>
      </w:r>
    </w:p>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Bậc 1 only, WBES không thu thập thang đo đầy đủ cho số hoá động tại SIDS.</w:t>
      </w:r>
    </w:p>
    <w:p>
      <w:r>
        <w:pict>
          <v:rect style="width:0;height:1.5pt" o:hralign="center" o:hrstd="t" o:hr="t"/>
        </w:pict>
      </w:r>
    </w:p>
    <w:bookmarkEnd w:id="126"/>
    <w:bookmarkStart w:id="127"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mô hình gộp ba đợt với biến giả/xu thế đợt khảo sát làm kiểm định độ vững. Việc UPI ra mắt tháng 4/2016 cung cấp thí nghiệm gần tự nhiên cho bão hòa DAI; riêng đợt 2025 (BREADY) bổ sung chỉ báo Bậc 2 (</w:t>
      </w:r>
      <w:r>
        <w:rPr>
          <w:rStyle w:val="VerbatimChar"/>
        </w:rPr>
        <w:t xml:space="preserve">k33</w:t>
      </w:r>
      <w:r>
        <w:t xml:space="preserve">, tỷ trọng doanh thu qua thanh toán điện tử) cho phép kiểm định điều tiết DAI Bậc 2, được xử lý như phân tích thăm dò vì chỉ có ở một đợt.</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ln(doanh thu nội tệ / lao động thường trực)</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(d3c/100) − mean_wave(FSTS): centred theo đợt</w:t>
            </w:r>
          </w:p>
        </w:tc>
        <w:tc>
          <w:tcPr/>
          <w:p>
            <w:pPr>
              <w:pStyle w:val="Compact"/>
              <w:jc w:val="left"/>
            </w:pPr>
            <w:r>
              <w:t xml:space="preserve">Biến độc lập (I)</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I, phi tuyến</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DAI_z</w:t>
            </w:r>
          </w:p>
        </w:tc>
        <w:tc>
          <w:tcPr/>
          <w:p>
            <w:pPr>
              <w:pStyle w:val="Compact"/>
              <w:jc w:val="left"/>
            </w:pPr>
            <w:r>
              <w:t xml:space="preserve">c22b (mọi đợt); k33 (2025)</w:t>
            </w:r>
          </w:p>
        </w:tc>
        <w:tc>
          <w:tcPr/>
          <w:p>
            <w:pPr>
              <w:pStyle w:val="Compact"/>
              <w:jc w:val="left"/>
            </w:pPr>
            <w:r>
              <w:t xml:space="preserve">chuẩn hóa z(website Bậc 1; + thanh toán điện tử Bậc 2)</w:t>
            </w:r>
          </w:p>
        </w:tc>
        <w:tc>
          <w:tcPr/>
          <w:p>
            <w:pPr>
              <w:pStyle w:val="Compact"/>
              <w:jc w:val="left"/>
            </w:pPr>
            <w:r>
              <w:t xml:space="preserve">Số hoá</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Wave</w:t>
            </w:r>
          </w:p>
        </w:tc>
        <w:tc>
          <w:tcPr/>
          <w:p>
            <w:pPr>
              <w:pStyle w:val="Compact"/>
              <w:jc w:val="left"/>
            </w:pPr>
            <w:r>
              <w:t xml:space="preserve">đợt</w:t>
            </w:r>
          </w:p>
        </w:tc>
        <w:tc>
          <w:tcPr/>
          <w:p>
            <w:pPr>
              <w:pStyle w:val="Compact"/>
              <w:jc w:val="left"/>
            </w:pPr>
            <w:r>
              <w:t xml:space="preserve">biến giả/xu thế đợt khảo sát</w:t>
            </w:r>
          </w:p>
        </w:tc>
        <w:tc>
          <w:tcPr/>
          <w:p>
            <w:pPr>
              <w:pStyle w:val="Compact"/>
              <w:jc w:val="left"/>
            </w:pPr>
            <w:r>
              <w:t xml:space="preserve">thời gian (mô hình gộp)</w:t>
            </w:r>
          </w:p>
        </w:tc>
      </w:tr>
    </w:tbl>
    <w:p>
      <w:pPr>
        <w:pStyle w:val="BodyText"/>
      </w:pPr>
      <w:r>
        <w:rPr>
          <w:bCs/>
          <w:b/>
        </w:rPr>
        <w:t xml:space="preserve">Chuỗi mô hình theo từng đợt M0–M3 (P9):</w:t>
      </w:r>
    </w:p>
    <w:p>
      <w:pPr>
        <w:pStyle w:val="BodyText"/>
      </w:pPr>
      <w:r>
        <w:t xml:space="preserve">M0 (cơ sở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sub>
          </m:sSub>
          <m:r>
            <m:rPr>
              <m:sty m:val="p"/>
            </m:rPr>
            <m:t>+</m:t>
          </m:r>
          <m:sSub>
            <m:e>
              <m:r>
                <m:t>γ</m:t>
              </m:r>
            </m:e>
            <m:sub>
              <m:r>
                <m:t>2</m:t>
              </m:r>
            </m:sub>
          </m:sSub>
          <m:sSub>
            <m:e>
              <m:r>
                <m:rPr>
                  <m:sty m:val="p"/>
                </m:rPr>
                <m:t>A</m:t>
              </m:r>
              <m:r>
                <m:rPr>
                  <m:sty m:val="p"/>
                </m:rPr>
                <m:t>g</m:t>
              </m:r>
              <m:r>
                <m:rPr>
                  <m:sty m:val="p"/>
                </m:rPr>
                <m:t>e</m:t>
              </m:r>
            </m:e>
            <m:sub>
              <m:r>
                <m:t>i</m:t>
              </m:r>
            </m:sub>
          </m:sSub>
          <m:r>
            <m:rPr>
              <m:sty m:val="p"/>
            </m:rPr>
            <m:t>+</m:t>
          </m:r>
          <m:sSub>
            <m:e>
              <m:r>
                <m:t>γ</m:t>
              </m:r>
            </m:e>
            <m:sub>
              <m:r>
                <m:t>3</m:t>
              </m:r>
            </m:sub>
          </m:sSub>
          <m:sSub>
            <m:e>
              <m:r>
                <m:rPr>
                  <m:sty m:val="p"/>
                </m:rPr>
                <m:t>O</m:t>
              </m:r>
              <m:r>
                <m:rPr>
                  <m:sty m:val="p"/>
                </m:rPr>
                <m:t>w</m:t>
              </m:r>
              <m:r>
                <m:rPr>
                  <m:sty m:val="p"/>
                </m:rPr>
                <m:t>n</m:t>
              </m:r>
            </m:e>
            <m:sub>
              <m:r>
                <m:t>i</m:t>
              </m:r>
            </m:sub>
          </m:sSub>
          <m:r>
            <m:rPr>
              <m:sty m:val="p"/>
            </m:rPr>
            <m:t>+</m:t>
          </m:r>
          <m:sSub>
            <m:e>
              <m:r>
                <m:t>ε</m:t>
              </m:r>
            </m:e>
            <m:sub>
              <m:r>
                <m:t>i</m:t>
              </m:r>
            </m:sub>
          </m:sSub>
        </m:oMath>
      </m:oMathPara>
    </w:p>
    <w:p>
      <w:pPr>
        <w:pStyle w:val="FirstParagraph"/>
      </w:pPr>
      <w:r>
        <w:t xml:space="preserve">M1 (tuyến tính): thêm cường độ xuất khẩu</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M2 (phi tuyến, kiểm định H1 theo từng đợt):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sSub>
            <m:e>
              <m:r>
                <m:rPr>
                  <m:sty m:val="p"/>
                </m:rPr>
                <m:t>T</m:t>
              </m:r>
              <m:r>
                <m:rPr>
                  <m:sty m:val="p"/>
                </m:rPr>
                <m:t>P</m:t>
              </m:r>
            </m:e>
            <m:sub>
              <m:r>
                <m:t>2014</m:t>
              </m:r>
            </m:sub>
          </m:sSub>
          <m:r>
            <m:rPr>
              <m:sty m:val="p"/>
            </m:rPr>
            <m:t>=</m:t>
          </m:r>
          <m:r>
            <m:t>61</m:t>
          </m:r>
          <m:r>
            <m:rPr>
              <m:sty m:val="p"/>
            </m:rPr>
            <m:t>,</m:t>
          </m:r>
          <m:r>
            <m:t>8</m:t>
          </m:r>
          <m:r>
            <m:rPr>
              <m:sty m:val="p"/>
            </m:rPr>
            <m:t>%</m:t>
          </m:r>
          <m:r>
            <m:rPr>
              <m:sty m:val="p"/>
            </m:rPr>
            <m:t>,</m:t>
          </m:r>
          <m:r>
            <m:t> </m:t>
          </m:r>
          <m:sSub>
            <m:e>
              <m:r>
                <m:rPr>
                  <m:sty m:val="p"/>
                </m:rPr>
                <m:t>T</m:t>
              </m:r>
              <m:r>
                <m:rPr>
                  <m:sty m:val="p"/>
                </m:rPr>
                <m:t>P</m:t>
              </m:r>
            </m:e>
            <m:sub>
              <m:r>
                <m:t>2022</m:t>
              </m:r>
            </m:sub>
          </m:sSub>
          <m:r>
            <m:rPr>
              <m:sty m:val="p"/>
            </m:rPr>
            <m:t>=</m:t>
          </m:r>
          <m:r>
            <m:t>40</m:t>
          </m:r>
          <m:r>
            <m:rPr>
              <m:sty m:val="p"/>
            </m:rPr>
            <m:t>,</m:t>
          </m:r>
          <m:r>
            <m:t>7</m:t>
          </m:r>
          <m:r>
            <m:rPr>
              <m:sty m:val="p"/>
            </m:rPr>
            <m:t>%</m:t>
          </m:r>
          <m:r>
            <m:rPr>
              <m:sty m:val="p"/>
            </m:rPr>
            <m:t>,</m:t>
          </m:r>
          <m:r>
            <m:t> </m:t>
          </m:r>
          <m:r>
            <m:rPr>
              <m:nor/>
              <m:sty m:val="p"/>
            </m:rPr>
            <m:t>tan biến </m:t>
          </m:r>
          <m:r>
            <m:t>2025</m:t>
          </m:r>
          <m:r>
            <m:t> </m:t>
          </m:r>
          <m:d>
            <m:dPr>
              <m:begChr m:val="("/>
              <m:endChr m:val=")"/>
              <m:sepChr m:val=""/>
              <m:grow/>
            </m:dPr>
            <m:e>
              <m:sSub>
                <m:e>
                  <m:r>
                    <m:t>β</m:t>
                  </m:r>
                </m:e>
                <m:sub>
                  <m:r>
                    <m:t>2</m:t>
                  </m:r>
                </m:sub>
              </m:sSub>
              <m:r>
                <m:t> </m:t>
              </m:r>
              <m:r>
                <m:rPr>
                  <m:nor/>
                  <m:sty m:val="p"/>
                </m:rPr>
                <m:t>NS</m:t>
              </m:r>
            </m:e>
          </m:d>
        </m:oMath>
      </m:oMathPara>
    </w:p>
    <w:p>
      <w:pPr>
        <w:pStyle w:val="FirstParagraph"/>
      </w:pPr>
      <w:r>
        <w:t xml:space="preserve">M3 (điều tiết năng lực, kiểm định H2–H3): thêm TCI, DAI và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w:r>
        <w:rPr>
          <w:bCs/>
          <w:b/>
        </w:rPr>
        <w:t xml:space="preserve">Kiểm định ổn định ngưỡng xuyên đợt (Paternoster z-test):</w:t>
      </w:r>
      <w:r>
        <w:t xml:space="preserve"> </w:t>
      </w:r>
      <w:r>
        <w:t xml:space="preserve">so sánh cặp hệ số</w:t>
      </w:r>
      <w:r>
        <w:t xml:space="preserve"> </w:t>
      </w:r>
      <m:oMath>
        <m:d>
          <m:dPr>
            <m:begChr m:val="("/>
            <m:endChr m:val=")"/>
            <m:sepChr m:val=""/>
            <m:grow/>
          </m:dPr>
          <m:e>
            <m:sSub>
              <m:e>
                <m:r>
                  <m:t>β</m:t>
                </m:r>
              </m:e>
              <m:sub>
                <m:r>
                  <m:t>1</m:t>
                </m:r>
              </m:sub>
            </m:sSub>
            <m:r>
              <m:rPr>
                <m:sty m:val="p"/>
              </m:rPr>
              <m:t>,</m:t>
            </m:r>
            <m:sSub>
              <m:e>
                <m:r>
                  <m:t>β</m:t>
                </m:r>
              </m:e>
              <m:sub>
                <m:r>
                  <m:t>2</m:t>
                </m:r>
              </m:sub>
            </m:sSub>
          </m:e>
        </m:d>
      </m:oMath>
      <w:r>
        <w:t xml:space="preserve"> </w:t>
      </w:r>
      <w:r>
        <w:t xml:space="preserve">giữa đợt 2014 (tiền-UPI) và đợt 2025 (UPI bão hòa) qua cửa sổ 11 năm chính:</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r>
                    <m:rPr>
                      <m:sty m:val="p"/>
                    </m:rPr>
                    <m:t>S</m:t>
                  </m:r>
                  <m:r>
                    <m:rPr>
                      <m:sty m:val="p"/>
                    </m:rPr>
                    <m:t>E</m:t>
                  </m:r>
                  <m:sSup>
                    <m:e>
                      <m:d>
                        <m:dPr>
                          <m:begChr m:val="("/>
                          <m:endChr m:val=")"/>
                          <m:sepChr m:val=""/>
                          <m:grow/>
                        </m:dPr>
                        <m:e>
                          <m:sSup>
                            <m:e>
                              <m:acc>
                                <m:accPr>
                                  <m:chr m:val="̂"/>
                                </m:accPr>
                                <m:e>
                                  <m:r>
                                    <m:t>β</m:t>
                                  </m:r>
                                </m:e>
                              </m:acc>
                            </m:e>
                            <m:sup>
                              <m:d>
                                <m:dPr>
                                  <m:begChr m:val="("/>
                                  <m:endChr m:val=")"/>
                                  <m:sepChr m:val=""/>
                                  <m:grow/>
                                </m:dPr>
                                <m:e>
                                  <m:r>
                                    <m:t>2025</m:t>
                                  </m:r>
                                </m:e>
                              </m:d>
                            </m:sup>
                          </m:sSup>
                        </m:e>
                      </m:d>
                    </m:e>
                    <m:sup>
                      <m:r>
                        <m:t>2</m:t>
                      </m:r>
                    </m:sup>
                  </m:sSup>
                  <m:r>
                    <m:rPr>
                      <m:sty m:val="p"/>
                    </m:rPr>
                    <m:t>+</m:t>
                  </m:r>
                  <m:r>
                    <m:rPr>
                      <m:sty m:val="p"/>
                    </m:rPr>
                    <m:t>S</m:t>
                  </m:r>
                  <m:r>
                    <m:rPr>
                      <m:sty m:val="p"/>
                    </m:rPr>
                    <m:t>E</m:t>
                  </m:r>
                  <m:sSup>
                    <m:e>
                      <m:d>
                        <m:dPr>
                          <m:begChr m:val="("/>
                          <m:endChr m:val=")"/>
                          <m:sepChr m:val=""/>
                          <m:grow/>
                        </m:dPr>
                        <m:e>
                          <m:sSup>
                            <m:e>
                              <m:acc>
                                <m:accPr>
                                  <m:chr m:val="̂"/>
                                </m:accPr>
                                <m:e>
                                  <m:r>
                                    <m:t>β</m:t>
                                  </m:r>
                                </m:e>
                              </m:acc>
                            </m:e>
                            <m:sup>
                              <m:d>
                                <m:dPr>
                                  <m:begChr m:val="("/>
                                  <m:endChr m:val=")"/>
                                  <m:sepChr m:val=""/>
                                  <m:grow/>
                                </m:dPr>
                                <m:e>
                                  <m:r>
                                    <m:t>2014</m:t>
                                  </m:r>
                                </m:e>
                              </m:d>
                            </m:sup>
                          </m:sSup>
                        </m:e>
                      </m:d>
                    </m:e>
                    <m:sup>
                      <m:r>
                        <m:t>2</m:t>
                      </m:r>
                    </m:sup>
                  </m:sSup>
                </m:e>
              </m:rad>
            </m:den>
          </m:f>
        </m:oMath>
      </m:oMathPara>
    </w:p>
    <w:p>
      <w:pPr>
        <w:pStyle w:val="FirstParagraph"/>
      </w:pPr>
      <m:oMathPara>
        <m:oMathParaPr>
          <m:jc m:val="center"/>
        </m:oMathParaP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r>
            <m:rPr>
              <m:sty m:val="p"/>
            </m:rPr>
            <m:t>,</m:t>
          </m:r>
          <m:r>
            <m:t> </m:t>
          </m:r>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r>
            <m:t> </m:t>
          </m:r>
          <m:d>
            <m:dPr>
              <m:begChr m:val="("/>
              <m:endChr m:val=")"/>
              <m:sepChr m:val=""/>
              <m:grow/>
            </m:dPr>
            <m:e>
              <m:r>
                <m:rPr>
                  <m:nor/>
                  <m:sty m:val="p"/>
                </m:rPr>
                <m:t>HC1, </m:t>
              </m:r>
              <m:r>
                <m:t>p</m:t>
              </m:r>
              <m:r>
                <m:rPr>
                  <m:sty m:val="p"/>
                </m:rPr>
                <m:t>&lt;</m:t>
              </m:r>
              <m:r>
                <m:rPr>
                  <m:sty m:val="p"/>
                </m:rPr>
                <m:t>,</m:t>
              </m:r>
              <m:r>
                <m:t>0001</m:t>
              </m:r>
            </m:e>
          </m:d>
          <m:r>
            <m:rPr>
              <m:sty m:val="p"/>
            </m:rPr>
            <m:t>;</m:t>
          </m:r>
          <m:r>
            <m:t> </m:t>
          </m:r>
          <m:r>
            <m:rPr>
              <m:nor/>
              <m:sty m:val="p"/>
            </m:rPr>
            <m:t>cụm theo bang: </m:t>
          </m:r>
          <m:r>
            <m:t>z</m:t>
          </m:r>
          <m:r>
            <m:rPr>
              <m:sty m:val="p"/>
            </m:rPr>
            <m:t>=</m:t>
          </m:r>
          <m:r>
            <m:rPr>
              <m:sty m:val="p"/>
            </m:rPr>
            <m:t>−</m:t>
          </m:r>
          <m:r>
            <m:t>3</m:t>
          </m:r>
          <m:r>
            <m:rPr>
              <m:sty m:val="p"/>
            </m:rPr>
            <m:t>,</m:t>
          </m:r>
          <m:r>
            <m:t>50</m:t>
          </m:r>
          <m:r>
            <m:rPr>
              <m:sty m:val="p"/>
            </m:rPr>
            <m:t>/</m:t>
          </m:r>
          <m:r>
            <m:rPr>
              <m:sty m:val="p"/>
            </m:rPr>
            <m:t>+</m:t>
          </m:r>
          <m:r>
            <m:t>2</m:t>
          </m:r>
          <m:r>
            <m:rPr>
              <m:sty m:val="p"/>
            </m:rPr>
            <m:t>,</m:t>
          </m:r>
          <m:r>
            <m:t>19</m:t>
          </m:r>
        </m:oMath>
      </m:oMathPara>
    </w:p>
    <w:p>
      <w:pPr>
        <w:pStyle w:val="FirstParagraph"/>
      </w:pPr>
      <w:r>
        <w:rPr>
          <w:iCs/>
          <w:i/>
        </w:rPr>
        <w:t xml:space="preserve">Ghi chú: Sai số chuẩn HC1 (lát cắt ngang theo đợt); riêng kiểm định Paternoster báo cáo song song cả HC1 và cụm theo bang để kiểm tra độ vững suy luận. DAI là Bậc 1 (website) ở mọi đợt và bổ sung Bậc 2 (</w:t>
      </w:r>
      <w:r>
        <w:rPr>
          <w:rStyle w:val="VerbatimChar"/>
          <w:iCs/>
          <w:i/>
        </w:rPr>
        <w:t xml:space="preserve">k33</w:t>
      </w:r>
      <w:r>
        <w:rPr>
          <w:iCs/>
          <w:i/>
        </w:rPr>
        <w:t xml:space="preserve">) chỉ ở 2025 (BREADY), nên điều tiết DAI Bậc 2 là phân tích thăm dò. Mẫu gộp ba đợt</w:t>
      </w:r>
      <w:r>
        <w:rPr>
          <w:iCs/>
          <w:i/>
        </w:rPr>
        <w:t xml:space="preserve"> </w:t>
      </w:r>
      <m:oMath>
        <m:r>
          <m:t>N</m:t>
        </m:r>
        <m:r>
          <m:rPr>
            <m:sty m:val="p"/>
          </m:rPr>
          <m:t>=</m:t>
        </m:r>
        <m:r>
          <m:t>28.717</m:t>
        </m:r>
      </m:oMath>
      <w:r>
        <w:rPr>
          <w:iCs/>
          <w:i/>
        </w:rPr>
        <w:t xml:space="preserve"> </w:t>
      </w:r>
      <w:r>
        <w:rPr>
          <w:iCs/>
          <w:i/>
        </w:rPr>
        <w:t xml:space="preserve">(8.941 / 9.300 / 10.476) dùng cho mô hình xu thế đợt như kiểm định độ vững; kết quả chi tiết tại Chương 4, Mục 4.8.</w:t>
      </w:r>
    </w:p>
    <w:p>
      <w:r>
        <w:pict>
          <v:rect style="width:0;height:1.5pt" o:hralign="center" o:hrstd="t" o:hr="t"/>
        </w:pict>
      </w:r>
    </w:p>
    <w:bookmarkEnd w:id="127"/>
    <w:bookmarkStart w:id="128" w:name="Xaf6de9f3ce9dd2e126d4ad8a18cb74e94ed3202"/>
    <w:p>
      <w:pPr>
        <w:pStyle w:val="Heading4"/>
      </w:pPr>
      <w:r>
        <w:t xml:space="preserve">3.4.5.7 Mô hình cụ thể: Nghiên cứu 10 (Nhật Bản, WBES 2025)</w:t>
      </w:r>
    </w:p>
    <w:p>
      <w:pPr>
        <w:pStyle w:val="FirstParagraph"/>
      </w:pPr>
      <w:r>
        <w:t xml:space="preserve">Nghiên cứu 10 phân tích</w:t>
      </w:r>
      <w:r>
        <w:t xml:space="preserve"> </w:t>
      </w:r>
      <w:r>
        <w:rPr>
          <w:bCs/>
          <w:b/>
        </w:rPr>
        <w:t xml:space="preserve">đợt khảo sát WBES đầu tiên của Nhật Bản (2025)</w:t>
      </w:r>
      <w:r>
        <w:t xml:space="preserve">, với mẫu thô</w:t>
      </w:r>
      <w:r>
        <w:t xml:space="preserve"> </w:t>
      </w:r>
      <m:oMath>
        <m:r>
          <m:t>N</m:t>
        </m:r>
        <m:r>
          <m:rPr>
            <m:sty m:val="p"/>
          </m:rPr>
          <m:t>=</m:t>
        </m:r>
        <m:r>
          <m:t>2.168</m:t>
        </m:r>
      </m:oMath>
      <w:r>
        <w:t xml:space="preserve"> </w:t>
      </w:r>
      <w:r>
        <w:t xml:space="preserve">doanh nghiệp, mẫu phân tích chính</w:t>
      </w:r>
      <w:r>
        <w:t xml:space="preserve"> </w:t>
      </w:r>
      <m:oMath>
        <m:r>
          <m:t>N</m:t>
        </m:r>
        <m:r>
          <m:rPr>
            <m:sty m:val="p"/>
          </m:rPr>
          <m:t>=</m:t>
        </m:r>
        <m:r>
          <m:t>2.047</m:t>
        </m:r>
      </m:oMath>
      <w:r>
        <w:t xml:space="preserve"> </w:t>
      </w:r>
      <w:r>
        <w:t xml:space="preserve">(hồi quy FSTS) và</w:t>
      </w:r>
      <w:r>
        <w:t xml:space="preserve"> </w:t>
      </w:r>
      <m:oMath>
        <m:r>
          <m:t>N</m:t>
        </m:r>
        <m:r>
          <m:rPr>
            <m:sty m:val="p"/>
          </m:rPr>
          <m:t>=</m:t>
        </m:r>
        <m:r>
          <m:t>2.011</m:t>
        </m:r>
      </m:oMath>
      <w:r>
        <w:t xml:space="preserve"> </w:t>
      </w:r>
      <w:r>
        <w:t xml:space="preserve">(phần bù năng suất doanh nghiệp xuất khẩu). Nhật Bản là thành viên thứ sáu của Nhóm I ICRV (tiên tiến đổi mới sáng tạo) và là nền kinh tế có cơ sở lâu đời nhất mẫu gộp (tuổi doanh nghiệp trung bình 50,4 năm). Thiết kế là lát cắt ngang đơn đợt, ước lượng OLS với sai số chuẩn vững HC1 và hiệu ứng cố định ngành (</w:t>
      </w:r>
      <w:r>
        <w:rPr>
          <w:rStyle w:val="VerbatimChar"/>
        </w:rPr>
        <w:t xml:space="preserve">a4a</w:t>
      </w:r>
      <w:r>
        <w:t xml:space="preserve">). Đặc trưng mẫu: cường độ xuất khẩu trung bình rất thấp (FSTS 4,1%), tỷ lệ doanh nghiệp xuất khẩu 16,8%, website đã bão hòa (83,8%), nữ quản lý cấp cao mỏng nhất khu vực (7,3%).</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ln(doanh thu nội tệ / lao động thường trực)</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(d3c/100) − mean(FSTS): centred</w:t>
            </w:r>
          </w:p>
        </w:tc>
        <w:tc>
          <w:tcPr/>
          <w:p>
            <w:pPr>
              <w:pStyle w:val="Compact"/>
              <w:jc w:val="left"/>
            </w:pPr>
            <w:r>
              <w:t xml:space="preserve">Biến độc lập (I)</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I, kiểm định phi tuyến</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DAI_z</w:t>
            </w:r>
          </w:p>
        </w:tc>
        <w:tc>
          <w:tcPr/>
          <w:p>
            <w:pPr>
              <w:pStyle w:val="Compact"/>
              <w:jc w:val="left"/>
            </w:pPr>
            <w:r>
              <w:t xml:space="preserve">c22b, k33</w:t>
            </w:r>
          </w:p>
        </w:tc>
        <w:tc>
          <w:tcPr/>
          <w:p>
            <w:pPr>
              <w:pStyle w:val="Compact"/>
              <w:jc w:val="left"/>
            </w:pPr>
            <w:r>
              <w:t xml:space="preserve">chuẩn hóa z(website + thanh toán điện tử): Bậc 1 và 2</w:t>
            </w:r>
          </w:p>
        </w:tc>
        <w:tc>
          <w:tcPr/>
          <w:p>
            <w:pPr>
              <w:pStyle w:val="Compact"/>
              <w:jc w:val="left"/>
            </w:pPr>
            <w:r>
              <w:t xml:space="preserve">Số hoá (bão hòa Bậc 1)</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Export</w:t>
            </w:r>
          </w:p>
        </w:tc>
        <w:tc>
          <w:tcPr/>
          <w:p>
            <w:pPr>
              <w:pStyle w:val="Compact"/>
              <w:jc w:val="left"/>
            </w:pPr>
            <w:r>
              <w:t xml:space="preserve">d3c&gt;0</w:t>
            </w:r>
          </w:p>
        </w:tc>
        <w:tc>
          <w:tcPr/>
          <w:p>
            <w:pPr>
              <w:pStyle w:val="Compact"/>
              <w:jc w:val="left"/>
            </w:pPr>
            <w:r>
              <w:t xml:space="preserve">1 nếu doanh nghiệp có xuất khẩu</w:t>
            </w:r>
          </w:p>
        </w:tc>
        <w:tc>
          <w:tcPr/>
          <w:p>
            <w:pPr>
              <w:pStyle w:val="Compact"/>
              <w:jc w:val="left"/>
            </w:pPr>
            <w:r>
              <w:t xml:space="preserve">Biên rộng (tham gia)</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δ_s</w:t>
            </w:r>
          </w:p>
        </w:tc>
        <w:tc>
          <w:tcPr/>
          <w:p>
            <w:pPr>
              <w:pStyle w:val="Compact"/>
              <w:jc w:val="left"/>
            </w:pPr>
            <w:r>
              <w:t xml:space="preserve">a4a</w:t>
            </w:r>
          </w:p>
        </w:tc>
        <w:tc>
          <w:tcPr/>
          <w:p>
            <w:pPr>
              <w:pStyle w:val="Compact"/>
              <w:jc w:val="left"/>
            </w:pPr>
            <w:r>
              <w:t xml:space="preserve">hiệu ứng cố định ngành</w:t>
            </w:r>
          </w:p>
        </w:tc>
        <w:tc>
          <w:tcPr/>
          <w:p>
            <w:pPr>
              <w:pStyle w:val="Compact"/>
              <w:jc w:val="left"/>
            </w:pPr>
            <w:r>
              <w:t xml:space="preserve">hiệu ứng cố định</w:t>
            </w:r>
          </w:p>
        </w:tc>
      </w:tr>
    </w:tbl>
    <w:p>
      <w:pPr>
        <w:pStyle w:val="BodyText"/>
      </w:pPr>
      <w:r>
        <w:rPr>
          <w:bCs/>
          <w:b/>
        </w:rPr>
        <w:t xml:space="preserve">Chuỗi mô hình M1–M5 (P10):</w:t>
      </w:r>
    </w:p>
    <w:p>
      <w:pPr>
        <w:pStyle w:val="BodyText"/>
      </w:pPr>
      <w:r>
        <w:t xml:space="preserve">M1 (tuyến tính cơ sở):</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δ</m:t>
              </m:r>
            </m:e>
            <m:sub>
              <m:r>
                <m:t>s</m:t>
              </m:r>
            </m:sub>
          </m:sSub>
          <m:r>
            <m:rPr>
              <m:sty m:val="p"/>
            </m:rPr>
            <m:t>+</m:t>
          </m:r>
          <m:sSub>
            <m:e>
              <m:r>
                <m:t>ε</m:t>
              </m:r>
            </m:e>
            <m:sub>
              <m:r>
                <m:t>i</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sSup>
            <m:e>
              <m:r>
                <m:t>671</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r>
                <m:rPr>
                  <m:sty m:val="p"/>
                </m:rPr>
                <m:t>;</m:t>
              </m:r>
              <m:r>
                <m:t> </m:t>
              </m:r>
              <m:r>
                <m:t>N</m:t>
              </m:r>
              <m:r>
                <m:rPr>
                  <m:sty m:val="p"/>
                </m:rPr>
                <m:t>=</m:t>
              </m:r>
              <m:r>
                <m:t>2.047</m:t>
              </m:r>
            </m:e>
          </m:d>
        </m:oMath>
      </m:oMathPara>
    </w:p>
    <w:p>
      <w:pPr>
        <w:pStyle w:val="FirstParagraph"/>
      </w:pPr>
      <w:r>
        <w:t xml:space="preserve">M2 (phi tuyến, kiểm định H1):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δ</m:t>
              </m:r>
            </m:e>
            <m:sub>
              <m:r>
                <m:t>s</m:t>
              </m:r>
            </m:sub>
          </m:sSub>
          <m:r>
            <m:rPr>
              <m:sty m:val="p"/>
            </m:rPr>
            <m:t>+</m:t>
          </m:r>
          <m:sSub>
            <m:e>
              <m:r>
                <m:t>ε</m:t>
              </m:r>
            </m:e>
            <m:sub>
              <m:r>
                <m:t>i</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sSup>
            <m:e>
              <m:r>
                <m:t>042</m:t>
              </m:r>
            </m:e>
            <m:sup>
              <m:r>
                <m:rPr>
                  <m:sty m:val="p"/>
                </m:rPr>
                <m:t>*</m:t>
              </m:r>
              <m:r>
                <m:rPr>
                  <m:sty m:val="p"/>
                </m:rPr>
                <m:t>*</m:t>
              </m:r>
            </m:sup>
          </m:sSup>
          <m:r>
            <m:t> </m:t>
          </m:r>
          <m:d>
            <m:dPr>
              <m:begChr m:val="("/>
              <m:endChr m:val=")"/>
              <m:sepChr m:val=""/>
              <m:grow/>
            </m:dPr>
            <m:e>
              <m:r>
                <m:t>p</m:t>
              </m:r>
              <m:r>
                <m:rPr>
                  <m:sty m:val="p"/>
                </m:rPr>
                <m:t>=</m:t>
              </m:r>
              <m:r>
                <m:rPr>
                  <m:sty m:val="p"/>
                </m:rPr>
                <m:t>,</m:t>
              </m:r>
              <m:r>
                <m:t>002</m:t>
              </m:r>
            </m:e>
          </m:d>
          <m:r>
            <m:rPr>
              <m:sty m:val="p"/>
            </m:rPr>
            <m:t>;</m:t>
          </m:r>
          <m:r>
            <m:t> </m:t>
          </m:r>
          <m:sSub>
            <m:e>
              <m:r>
                <m:t>β</m:t>
              </m:r>
            </m:e>
            <m:sub>
              <m:r>
                <m:t>2</m:t>
              </m:r>
            </m:sub>
          </m:sSub>
          <m:r>
            <m:rPr>
              <m:sty m:val="p"/>
            </m:rPr>
            <m:t>=</m:t>
          </m:r>
          <m:r>
            <m:rPr>
              <m:sty m:val="p"/>
            </m:rPr>
            <m:t>−</m:t>
          </m:r>
          <m:r>
            <m:t>0</m:t>
          </m:r>
          <m:r>
            <m:rPr>
              <m:sty m:val="p"/>
            </m:rPr>
            <m:t>,</m:t>
          </m:r>
          <m:r>
            <m:t>606</m:t>
          </m:r>
          <m:r>
            <m:t> </m:t>
          </m:r>
          <m:d>
            <m:dPr>
              <m:begChr m:val="("/>
              <m:endChr m:val=")"/>
              <m:sepChr m:val=""/>
              <m:grow/>
            </m:dPr>
            <m:e>
              <m:r>
                <m:t>p</m:t>
              </m:r>
              <m:r>
                <m:rPr>
                  <m:sty m:val="p"/>
                </m:rPr>
                <m:t>=</m:t>
              </m:r>
              <m:r>
                <m:rPr>
                  <m:sty m:val="p"/>
                </m:rPr>
                <m:t>,</m:t>
              </m:r>
              <m:r>
                <m:t>323</m:t>
              </m:r>
              <m:r>
                <m:rPr>
                  <m:sty m:val="p"/>
                </m:rPr>
                <m:t>,</m:t>
              </m:r>
              <m:r>
                <m:t> </m:t>
              </m:r>
              <m:r>
                <m:rPr>
                  <m:nor/>
                  <m:sty m:val="p"/>
                </m:rPr>
                <m:t>NS</m:t>
              </m:r>
            </m:e>
          </m:d>
          <m:r>
            <m:rPr>
              <m:sty m:val="p"/>
            </m:rPr>
            <m:t>;</m:t>
          </m:r>
          <m:r>
            <m:t> </m:t>
          </m:r>
          <m:r>
            <m:rPr>
              <m:sty m:val="p"/>
            </m:rPr>
            <m:t>T</m:t>
          </m:r>
          <m:r>
            <m:rPr>
              <m:sty m:val="p"/>
            </m:rPr>
            <m:t>P</m:t>
          </m:r>
          <m:r>
            <m:rPr>
              <m:sty m:val="p"/>
            </m:rPr>
            <m:t>=</m:t>
          </m:r>
          <m:d>
            <m:dPr>
              <m:begChr m:val="["/>
              <m:endChr m:val="]"/>
              <m:sepChr m:val=""/>
              <m:grow/>
            </m:dPr>
            <m:e>
              <m:r>
                <m:t>90</m:t>
              </m:r>
              <m:r>
                <m:rPr>
                  <m:sty m:val="p"/>
                </m:rPr>
                <m:t>,</m:t>
              </m:r>
              <m:r>
                <m:t>1</m:t>
              </m:r>
              <m:r>
                <m:rPr>
                  <m:sty m:val="p"/>
                </m:rPr>
                <m:t>%</m:t>
              </m:r>
            </m:e>
          </m:d>
          <m:r>
            <m:t> </m:t>
          </m:r>
          <m:r>
            <m:rPr>
              <m:nor/>
              <m:sty m:val="p"/>
            </m:rPr>
            <m:t>ngoài miền</m:t>
          </m:r>
          <m:r>
            <m:rPr>
              <m:sty m:val="p"/>
            </m:rPr>
            <m:t>⇒</m:t>
          </m:r>
          <m:r>
            <m:rPr>
              <m:nor/>
              <m:sty m:val="p"/>
            </m:rPr>
            <m:t>không có chữ U ngược</m:t>
          </m:r>
        </m:oMath>
      </m:oMathPara>
    </w:p>
    <w:p>
      <w:pPr>
        <w:pStyle w:val="FirstParagraph"/>
      </w:pPr>
      <w:r>
        <w:t xml:space="preserve">M3 (M2 + kiểm soát nhân khẩu); M4 (M3 + TCI, DAI); M5 (M4 + tương tác uốn đường cong):</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r>
            <m:t>ε</m:t>
          </m:r>
        </m:oMath>
      </m:oMathPara>
    </w:p>
    <w:p>
      <w:pPr>
        <w:pStyle w:val="FirstParagraph"/>
      </w:pPr>
      <m:oMathPara>
        <m:oMathParaPr>
          <m:jc m:val="center"/>
        </m:oMathParaPr>
        <m:oMath>
          <m:sSub>
            <m:e>
              <m:r>
                <m:t>β</m:t>
              </m:r>
            </m:e>
            <m:sub>
              <m:r>
                <m:t>3</m:t>
              </m:r>
            </m:sub>
          </m:sSub>
          <m:r>
            <m:t> </m:t>
          </m:r>
          <m:d>
            <m:dPr>
              <m:begChr m:val="("/>
              <m:endChr m:val=")"/>
              <m:sepChr m:val=""/>
              <m:grow/>
            </m:dPr>
            <m:e>
              <m:sSub>
                <m:e>
                  <m:r>
                    <m:rPr>
                      <m:sty m:val="p"/>
                    </m:rPr>
                    <m:t>T</m:t>
                  </m:r>
                  <m:r>
                    <m:rPr>
                      <m:sty m:val="p"/>
                    </m:rPr>
                    <m:t>C</m:t>
                  </m:r>
                  <m:r>
                    <m:rPr>
                      <m:sty m:val="p"/>
                    </m:rPr>
                    <m:t>I</m:t>
                  </m:r>
                </m:e>
                <m:sub>
                  <m:r>
                    <m:t>z</m:t>
                  </m:r>
                </m:sub>
              </m:sSub>
            </m:e>
          </m:d>
          <m:r>
            <m:rPr>
              <m:sty m:val="p"/>
            </m:rPr>
            <m:t>=</m:t>
          </m:r>
          <m:r>
            <m:rPr>
              <m:sty m:val="p"/>
            </m:rPr>
            <m:t>+</m:t>
          </m:r>
          <m:r>
            <m:t>0</m:t>
          </m:r>
          <m:r>
            <m:rPr>
              <m:sty m:val="p"/>
            </m:rPr>
            <m:t>,</m:t>
          </m:r>
          <m:sSup>
            <m:e>
              <m:r>
                <m:t>100</m:t>
              </m:r>
            </m:e>
            <m:sup>
              <m:r>
                <m:rPr>
                  <m:sty m:val="p"/>
                </m:rPr>
                <m:t>*</m:t>
              </m:r>
              <m:r>
                <m:rPr>
                  <m:sty m:val="p"/>
                </m:rPr>
                <m:t>*</m:t>
              </m:r>
              <m:r>
                <m:rPr>
                  <m:sty m:val="p"/>
                </m:rPr>
                <m:t>*</m:t>
              </m:r>
            </m:sup>
          </m:sSup>
          <m:r>
            <m:rPr>
              <m:sty m:val="p"/>
            </m:rPr>
            <m:t>;</m:t>
          </m:r>
          <m:r>
            <m:t> </m:t>
          </m:r>
          <m:sSub>
            <m:e>
              <m:r>
                <m:t>β</m:t>
              </m:r>
            </m:e>
            <m:sub>
              <m:r>
                <m:t>4</m:t>
              </m:r>
            </m:sub>
          </m:sSub>
          <m:r>
            <m:t> </m:t>
          </m:r>
          <m:d>
            <m:dPr>
              <m:begChr m:val="("/>
              <m:endChr m:val=")"/>
              <m:sepChr m:val=""/>
              <m:grow/>
            </m:dPr>
            <m:e>
              <m:sSub>
                <m:e>
                  <m:r>
                    <m:rPr>
                      <m:sty m:val="p"/>
                    </m:rPr>
                    <m:t>D</m:t>
                  </m:r>
                  <m:r>
                    <m:rPr>
                      <m:sty m:val="p"/>
                    </m:rPr>
                    <m:t>A</m:t>
                  </m:r>
                  <m:r>
                    <m:rPr>
                      <m:sty m:val="p"/>
                    </m:rPr>
                    <m:t>I</m:t>
                  </m:r>
                </m:e>
                <m:sub>
                  <m:r>
                    <m:t>z</m:t>
                  </m:r>
                </m:sub>
              </m:sSub>
            </m:e>
          </m:d>
          <m:r>
            <m:rPr>
              <m:sty m:val="p"/>
            </m:rPr>
            <m:t>=</m:t>
          </m:r>
          <m:r>
            <m:rPr>
              <m:sty m:val="p"/>
            </m:rPr>
            <m:t>+</m:t>
          </m:r>
          <m:r>
            <m:t>0</m:t>
          </m:r>
          <m:r>
            <m:rPr>
              <m:sty m:val="p"/>
            </m:rPr>
            <m:t>,</m:t>
          </m:r>
          <m:sSup>
            <m:e>
              <m:r>
                <m:t>110</m:t>
              </m:r>
            </m:e>
            <m:sup>
              <m:r>
                <m:rPr>
                  <m:sty m:val="p"/>
                </m:rPr>
                <m:t>*</m:t>
              </m:r>
            </m:sup>
          </m:sSup>
          <m:r>
            <m:rPr>
              <m:sty m:val="p"/>
            </m:rPr>
            <m:t>;</m:t>
          </m:r>
          <m:r>
            <m:t> </m:t>
          </m:r>
          <m:r>
            <m:rPr>
              <m:nor/>
              <m:sty m:val="p"/>
            </m:rPr>
            <m:t>tương tác uốn đường cong NS qua M3–M5</m:t>
          </m:r>
        </m:oMath>
      </m:oMathPara>
    </w:p>
    <w:p>
      <w:pPr>
        <w:pStyle w:val="FirstParagraph"/>
      </w:pPr>
      <w:r>
        <w:rPr>
          <w:bCs/>
          <w:b/>
        </w:rPr>
        <w:t xml:space="preserve">Mô hình xác suất tham gia (biên rộng, kiểm định H4):</w:t>
      </w:r>
      <w:r>
        <w:t xml:space="preserve"> </w:t>
      </w:r>
      <w:r>
        <w:t xml:space="preserve">vì đường cường độ phẳng trong miền quan sát, biến thiên có ý nghĩa nằm ở</w:t>
      </w:r>
      <w:r>
        <w:t xml:space="preserve"> </w:t>
      </w:r>
      <w:r>
        <w:rPr>
          <w:iCs/>
          <w:i/>
        </w:rPr>
        <w:t xml:space="preserve">ai</w:t>
      </w:r>
      <w:r>
        <w:t xml:space="preserve"> </w:t>
      </w:r>
      <w:r>
        <w:t xml:space="preserve">xuất khẩu:</w:t>
      </w:r>
    </w:p>
    <w:p>
      <w:pPr>
        <w:pStyle w:val="BodyText"/>
      </w:pPr>
      <m:oMathPara>
        <m:oMathParaPr>
          <m:jc m:val="center"/>
        </m:oMathParaPr>
        <m:oMath>
          <m:r>
            <m:rPr>
              <m:sty m:val="p"/>
            </m:rPr>
            <m:t>Pr</m:t>
          </m:r>
          <m:d>
            <m:dPr>
              <m:begChr m:val="("/>
              <m:endChr m:val=")"/>
              <m:sepChr m:val=""/>
              <m:grow/>
            </m:dPr>
            <m:e>
              <m:sSub>
                <m:e>
                  <m:r>
                    <m:rPr>
                      <m:sty m:val="p"/>
                    </m:rPr>
                    <m:t>E</m:t>
                  </m:r>
                  <m:r>
                    <m:rPr>
                      <m:sty m:val="p"/>
                    </m:rPr>
                    <m:t>x</m:t>
                  </m:r>
                  <m:r>
                    <m:rPr>
                      <m:sty m:val="p"/>
                    </m:rPr>
                    <m:t>p</m:t>
                  </m:r>
                  <m:r>
                    <m:rPr>
                      <m:sty m:val="p"/>
                    </m:rPr>
                    <m:t>o</m:t>
                  </m:r>
                  <m:r>
                    <m:rPr>
                      <m:sty m:val="p"/>
                    </m:rPr>
                    <m:t>r</m:t>
                  </m:r>
                  <m:r>
                    <m:rPr>
                      <m:sty m:val="p"/>
                    </m:rPr>
                    <m:t>t</m:t>
                  </m:r>
                </m:e>
                <m:sub>
                  <m:r>
                    <m:t>i</m:t>
                  </m:r>
                </m:sub>
              </m:sSub>
              <m:r>
                <m:rPr>
                  <m:sty m:val="p"/>
                </m:rPr>
                <m:t>=</m:t>
              </m:r>
              <m:r>
                <m:t>1</m:t>
              </m:r>
            </m:e>
          </m:d>
          <m:r>
            <m:rPr>
              <m:sty m:val="p"/>
            </m:rPr>
            <m:t>=</m:t>
          </m:r>
          <m:r>
            <m:t>α</m:t>
          </m:r>
          <m:r>
            <m:rPr>
              <m:sty m:val="p"/>
            </m:rPr>
            <m:t>+</m:t>
          </m:r>
          <m:sSub>
            <m:e>
              <m:r>
                <m:t>θ</m:t>
              </m:r>
            </m:e>
            <m:sub>
              <m:r>
                <m:t>1</m:t>
              </m:r>
            </m:sub>
          </m:sSub>
          <m:sSub>
            <m:e>
              <m:r>
                <m:rPr>
                  <m:sty m:val="p"/>
                </m:rPr>
                <m:t>O</m:t>
              </m:r>
              <m:r>
                <m:rPr>
                  <m:sty m:val="p"/>
                </m:rPr>
                <m:t>w</m:t>
              </m:r>
              <m:r>
                <m:rPr>
                  <m:sty m:val="p"/>
                </m:rPr>
                <m:t>n</m:t>
              </m:r>
            </m:e>
            <m:sub>
              <m:r>
                <m:t>i</m:t>
              </m:r>
            </m:sub>
          </m:sSub>
          <m:r>
            <m:rPr>
              <m:sty m:val="p"/>
            </m:rPr>
            <m:t>+</m:t>
          </m:r>
          <m:sSub>
            <m:e>
              <m:r>
                <m:t>θ</m:t>
              </m:r>
            </m:e>
            <m:sub>
              <m:r>
                <m:t>2</m:t>
              </m:r>
            </m:sub>
          </m:sSub>
          <m:sSub>
            <m:e>
              <m:r>
                <m:rPr>
                  <m:sty m:val="p"/>
                </m:rPr>
                <m:t>T</m:t>
              </m:r>
              <m:r>
                <m:rPr>
                  <m:sty m:val="p"/>
                </m:rPr>
                <m:t>C</m:t>
              </m:r>
              <m:r>
                <m:rPr>
                  <m:sty m:val="p"/>
                </m:rPr>
                <m:t>I</m:t>
              </m:r>
            </m:e>
            <m:sub>
              <m:r>
                <m:t>z</m:t>
              </m:r>
              <m:r>
                <m:rPr>
                  <m:sty m:val="p"/>
                </m:rPr>
                <m:t>,</m:t>
              </m:r>
              <m:r>
                <m:t>i</m:t>
              </m:r>
            </m:sub>
          </m:sSub>
          <m:r>
            <m:rPr>
              <m:sty m:val="p"/>
            </m:rPr>
            <m:t>+</m:t>
          </m:r>
          <m:sSub>
            <m:e>
              <m:r>
                <m:t>θ</m:t>
              </m:r>
            </m:e>
            <m:sub>
              <m:r>
                <m:t>3</m:t>
              </m:r>
            </m:sub>
          </m:sSub>
          <m:sSub>
            <m:e>
              <m:r>
                <m:rPr>
                  <m:sty m:val="p"/>
                </m:rPr>
                <m:t>D</m:t>
              </m:r>
              <m:r>
                <m:rPr>
                  <m:sty m:val="p"/>
                </m:rPr>
                <m:t>A</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sSub>
            <m:e>
              <m:r>
                <m:t>θ</m:t>
              </m:r>
            </m:e>
            <m:sub>
              <m:r>
                <m:t>1</m:t>
              </m:r>
            </m:sub>
          </m:sSub>
          <m:r>
            <m:t> </m:t>
          </m:r>
          <m:d>
            <m:dPr>
              <m:begChr m:val="("/>
              <m:endChr m:val=")"/>
              <m:sepChr m:val=""/>
              <m:grow/>
            </m:dPr>
            <m:e>
              <m:r>
                <m:rPr>
                  <m:sty m:val="p"/>
                </m:rPr>
                <m:t>O</m:t>
              </m:r>
              <m:r>
                <m:rPr>
                  <m:sty m:val="p"/>
                </m:rPr>
                <m:t>w</m:t>
              </m:r>
              <m:r>
                <m:rPr>
                  <m:sty m:val="p"/>
                </m:rPr>
                <m:t>n</m:t>
              </m:r>
            </m:e>
          </m:d>
          <m:r>
            <m:rPr>
              <m:sty m:val="p"/>
            </m:rPr>
            <m:t>=</m:t>
          </m:r>
          <m:r>
            <m:rPr>
              <m:sty m:val="p"/>
            </m:rPr>
            <m:t>+</m:t>
          </m:r>
          <m:r>
            <m:t>0</m:t>
          </m:r>
          <m:r>
            <m:rPr>
              <m:sty m:val="p"/>
            </m:rPr>
            <m:t>,</m:t>
          </m:r>
          <m:sSup>
            <m:e>
              <m:r>
                <m:t>408</m:t>
              </m:r>
            </m:e>
            <m:sup>
              <m:r>
                <m:rPr>
                  <m:sty m:val="p"/>
                </m:rPr>
                <m:t>*</m:t>
              </m:r>
              <m:r>
                <m:rPr>
                  <m:sty m:val="p"/>
                </m:rPr>
                <m:t>*</m:t>
              </m:r>
              <m:r>
                <m:rPr>
                  <m:sty m:val="p"/>
                </m:rPr>
                <m:t>*</m:t>
              </m:r>
            </m:sup>
          </m:sSup>
          <m:r>
            <m:rPr>
              <m:sty m:val="p"/>
            </m:rPr>
            <m:t>;</m:t>
          </m:r>
          <m:r>
            <m:t> </m:t>
          </m:r>
          <m:sSub>
            <m:e>
              <m:r>
                <m:t>θ</m:t>
              </m:r>
            </m:e>
            <m:sub>
              <m:r>
                <m:t>2</m:t>
              </m:r>
            </m:sub>
          </m:sSub>
          <m:r>
            <m:t> </m:t>
          </m:r>
          <m:d>
            <m:dPr>
              <m:begChr m:val="("/>
              <m:endChr m:val=")"/>
              <m:sepChr m:val=""/>
              <m:grow/>
            </m:dPr>
            <m:e>
              <m:r>
                <m:rPr>
                  <m:sty m:val="p"/>
                </m:rPr>
                <m:t>T</m:t>
              </m:r>
              <m:r>
                <m:rPr>
                  <m:sty m:val="p"/>
                </m:rPr>
                <m:t>C</m:t>
              </m:r>
              <m:r>
                <m:rPr>
                  <m:sty m:val="p"/>
                </m:rPr>
                <m:t>I</m:t>
              </m:r>
            </m:e>
          </m:d>
          <m:r>
            <m:rPr>
              <m:sty m:val="p"/>
            </m:rPr>
            <m:t>=</m:t>
          </m:r>
          <m:r>
            <m:rPr>
              <m:sty m:val="p"/>
            </m:rPr>
            <m:t>+</m:t>
          </m:r>
          <m:r>
            <m:t>0</m:t>
          </m:r>
          <m:r>
            <m:rPr>
              <m:sty m:val="p"/>
            </m:rPr>
            <m:t>,</m:t>
          </m:r>
          <m:sSup>
            <m:e>
              <m:r>
                <m:t>083</m:t>
              </m:r>
            </m:e>
            <m:sup>
              <m:r>
                <m:rPr>
                  <m:sty m:val="p"/>
                </m:rPr>
                <m:t>*</m:t>
              </m:r>
              <m:r>
                <m:rPr>
                  <m:sty m:val="p"/>
                </m:rPr>
                <m:t>*</m:t>
              </m:r>
              <m:r>
                <m:rPr>
                  <m:sty m:val="p"/>
                </m:rPr>
                <m:t>*</m:t>
              </m:r>
            </m:sup>
          </m:sSup>
          <m:r>
            <m:rPr>
              <m:sty m:val="p"/>
            </m:rPr>
            <m:t>;</m:t>
          </m:r>
          <m:r>
            <m:t> </m:t>
          </m:r>
          <m:sSub>
            <m:e>
              <m:r>
                <m:t>θ</m:t>
              </m:r>
            </m:e>
            <m:sub>
              <m:r>
                <m:t>3</m:t>
              </m:r>
            </m:sub>
          </m:sSub>
          <m:r>
            <m:t> </m:t>
          </m:r>
          <m:d>
            <m:dPr>
              <m:begChr m:val="("/>
              <m:endChr m:val=")"/>
              <m:sepChr m:val=""/>
              <m:grow/>
            </m:dPr>
            <m:e>
              <m:r>
                <m:rPr>
                  <m:sty m:val="p"/>
                </m:rPr>
                <m:t>D</m:t>
              </m:r>
              <m:r>
                <m:rPr>
                  <m:sty m:val="p"/>
                </m:rPr>
                <m:t>A</m:t>
              </m:r>
              <m:r>
                <m:rPr>
                  <m:sty m:val="p"/>
                </m:rPr>
                <m:t>I</m:t>
              </m:r>
            </m:e>
          </m:d>
          <m:r>
            <m:rPr>
              <m:sty m:val="p"/>
            </m:rPr>
            <m:t>=</m:t>
          </m:r>
          <m:r>
            <m:rPr>
              <m:sty m:val="p"/>
            </m:rPr>
            <m:t>+</m:t>
          </m:r>
          <m:r>
            <m:t>0</m:t>
          </m:r>
          <m:r>
            <m:rPr>
              <m:sty m:val="p"/>
            </m:rPr>
            <m:t>,</m:t>
          </m:r>
          <m:sSup>
            <m:e>
              <m:r>
                <m:t>046</m:t>
              </m:r>
            </m:e>
            <m:sup>
              <m:r>
                <m:rPr>
                  <m:sty m:val="p"/>
                </m:rPr>
                <m:t>*</m:t>
              </m:r>
              <m:r>
                <m:rPr>
                  <m:sty m:val="p"/>
                </m:rPr>
                <m:t>*</m:t>
              </m:r>
            </m:sup>
          </m:sSup>
          <m:r>
            <m:rPr>
              <m:sty m:val="p"/>
            </m:rPr>
            <m:t>;</m:t>
          </m:r>
          <m:r>
            <m:t> </m:t>
          </m:r>
          <m:sSup>
            <m:e>
              <m:r>
                <m:t>R</m:t>
              </m:r>
            </m:e>
            <m:sup>
              <m:r>
                <m:t>2</m:t>
              </m:r>
            </m:sup>
          </m:sSup>
          <m:r>
            <m:rPr>
              <m:sty m:val="p"/>
            </m:rPr>
            <m:t>=</m:t>
          </m:r>
          <m:r>
            <m:t>0</m:t>
          </m:r>
          <m:r>
            <m:rPr>
              <m:sty m:val="p"/>
            </m:rPr>
            <m:t>,</m:t>
          </m:r>
          <m:r>
            <m:t>228</m:t>
          </m:r>
        </m:oMath>
      </m:oMathPara>
    </w:p>
    <w:p>
      <w:pPr>
        <w:pStyle w:val="FirstParagraph"/>
      </w:pPr>
      <m:oMathPara>
        <m:oMathParaPr>
          <m:jc m:val="center"/>
        </m:oMathParaPr>
        <m:oMath>
          <m:r>
            <m:rPr>
              <m:nor/>
              <m:sty m:val="p"/>
            </m:rPr>
            <m:t>Phần bù năng suất doanh nghiệp xuất khẩu</m:t>
          </m:r>
          <m:r>
            <m:rPr>
              <m:sty m:val="p"/>
            </m:rPr>
            <m:t>=</m:t>
          </m:r>
          <m:r>
            <m:rPr>
              <m:sty m:val="p"/>
            </m:rPr>
            <m:t>+</m:t>
          </m:r>
          <m:r>
            <m:t>0</m:t>
          </m:r>
          <m:r>
            <m:rPr>
              <m:sty m:val="p"/>
            </m:rPr>
            <m:t>,</m:t>
          </m:r>
          <m:sSup>
            <m:e>
              <m:r>
                <m:t>258</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r>
                <m:rPr>
                  <m:sty m:val="p"/>
                </m:rPr>
                <m:t>;</m:t>
              </m:r>
              <m:r>
                <m:t> </m:t>
              </m:r>
              <m:r>
                <m:t>N</m:t>
              </m:r>
              <m:r>
                <m:rPr>
                  <m:sty m:val="p"/>
                </m:rPr>
                <m:t>=</m:t>
              </m:r>
              <m:r>
                <m:t>2.011</m:t>
              </m:r>
            </m:e>
          </m:d>
        </m:oMath>
      </m:oMathPara>
    </w:p>
    <w:p>
      <w:pPr>
        <w:pStyle w:val="FirstParagraph"/>
      </w:pPr>
      <w:r>
        <w:rPr>
          <w:iCs/>
          <w:i/>
        </w:rPr>
        <w:t xml:space="preserve">Ghi chú: Sai số chuẩn HC1, hiệu ứng cố định ngành</w:t>
      </w:r>
      <w:r>
        <w:rPr>
          <w:iCs/>
          <w:i/>
        </w:rPr>
        <w:t xml:space="preserve"> </w:t>
      </w:r>
      <w:r>
        <w:rPr>
          <w:rStyle w:val="VerbatimChar"/>
          <w:iCs/>
          <w:i/>
        </w:rPr>
        <w:t xml:space="preserve">a4a</w:t>
      </w:r>
      <w:r>
        <w:rPr>
          <w:iCs/>
          <w:i/>
        </w:rPr>
        <w:t xml:space="preserve">. DAI Bậc 1 và 2 nhưng website đã bão hòa 83,8% nên phần bù DAI bị nén còn khoảng một nửa mức gộp 50 nền. Quan hệ FSTS gần tuyến tính, không có chữ U ngược (Lind–Mehlum NS qua mọi mô hình), nhất quán với cấp nhóm Advanced của Nghiên cứu 7 và với Singapore (P4): ở biên trên phổ thể chế, cơ chế chuyển từ biên cường độ sang biên rộng (tự chọn lọc Melitz 2003). Tái lập:</w:t>
      </w:r>
      <w:r>
        <w:rPr>
          <w:iCs/>
          <w:i/>
        </w:rPr>
        <w:t xml:space="preserve"> </w:t>
      </w:r>
      <w:r>
        <w:rPr>
          <w:rStyle w:val="VerbatimChar"/>
          <w:iCs/>
          <w:i/>
        </w:rPr>
        <w:t xml:space="preserve">p10_japan/replication/p10_japan_models.py</w:t>
      </w:r>
      <w:r>
        <w:rPr>
          <w:iCs/>
          <w:i/>
        </w:rPr>
        <w:t xml:space="preserve">. Kết quả chi tiết tại Chương 4, Mục 4.9.</w:t>
      </w:r>
    </w:p>
    <w:p>
      <w:r>
        <w:pict>
          <v:rect style="width:0;height:1.5pt" o:hralign="center" o:hrstd="t" o:hr="t"/>
        </w:pict>
      </w:r>
    </w:p>
    <w:bookmarkEnd w:id="128"/>
    <w:bookmarkStart w:id="129" w:name="X2dcd08b74b2b6261fe0c7239f3f462d9ebbbd6c"/>
    <w:p>
      <w:pPr>
        <w:pStyle w:val="Heading4"/>
      </w:pPr>
      <w:r>
        <w:t xml:space="preserve">3.4.5.8 Hai nghiên cứu nền tảng: đa quốc gia 17 nền (P1) và doanh nghiệp nhỏ và vừa Trung Quốc (P2)</w:t>
      </w:r>
    </w:p>
    <w:p>
      <w:pPr>
        <w:pStyle w:val="FirstParagraph"/>
      </w:pPr>
      <w:r>
        <w:t xml:space="preserve">Ngoài bảy nghiên cứu đường cong ở trên, hai nghiên cứu nền tảng cung cấp bằng chứng cấp doanh nghiệp định khung cho luận án, được trình bày kết quả tại Chương 4 (Mục 4.1.7 và 4.4.8).</w:t>
      </w:r>
    </w:p>
    <w:p>
      <w:pPr>
        <w:pStyle w:val="BodyText"/>
      </w:pPr>
      <w:r>
        <w:rPr>
          <w:bCs/>
          <w:b/>
        </w:rPr>
        <w:t xml:space="preserve">Nghiên cứu 1 (P1): phân tầng năng suất vùng và hiệu ứng lá chắn số.</w:t>
      </w:r>
      <w:r>
        <w:t xml:space="preserve"> </w:t>
      </w:r>
      <w:r>
        <w:t xml:space="preserve">Mẫu phân tích</w:t>
      </w:r>
      <w:r>
        <w:t xml:space="preserve"> </w:t>
      </w:r>
      <m:oMath>
        <m:r>
          <m:t>N</m:t>
        </m:r>
        <m:r>
          <m:rPr>
            <m:sty m:val="p"/>
          </m:rPr>
          <m:t>=</m:t>
        </m:r>
        <m:r>
          <m:t>40.633</m:t>
        </m:r>
      </m:oMath>
      <w:r>
        <w:t xml:space="preserve"> </w:t>
      </w:r>
      <w:r>
        <w:t xml:space="preserve">doanh nghiệp tại 17 nền kinh tế châu Á (2009–2024), nhóm thành ba cụm vùng: Đại Trung Hoa (5.251), ASEAN (12.068), Nam Á (23.314). Biến phụ thuộc là ln(năng suất lao động) winsorize tại bách phân vị 1 và 99. Thiết kế OLS phân tầng theo khối biến,</w:t>
      </w:r>
      <w:r>
        <w:t xml:space="preserve"> </w:t>
      </w:r>
      <w:r>
        <w:rPr>
          <w:bCs/>
          <w:b/>
        </w:rPr>
        <w:t xml:space="preserve">không có số hạng FSTS</w:t>
      </w:r>
      <w:r>
        <w:t xml:space="preserve"> </w:t>
      </w:r>
      <w:r>
        <w:t xml:space="preserve">(trọng tâm là năng lực và rào cản thể chế, không phải cường độ xuất khẩu). Chuỗi mô hình: M1 chỉ biến vùng; M2 thêm khối năng lực (chấp nhận công nghệ, chứng nhận chất lượng); M3 thêm tương tác rào cản × năng lực.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R</m:t>
              </m:r>
              <m:r>
                <m:rPr>
                  <m:sty m:val="p"/>
                </m:rPr>
                <m:t>e</m:t>
              </m:r>
              <m:r>
                <m:rPr>
                  <m:sty m:val="p"/>
                </m:rPr>
                <m:t>g</m:t>
              </m:r>
              <m:r>
                <m:rPr>
                  <m:sty m:val="p"/>
                </m:rPr>
                <m:t>i</m:t>
              </m:r>
              <m:r>
                <m:rPr>
                  <m:sty m:val="p"/>
                </m:rPr>
                <m:t>o</m:t>
              </m:r>
              <m:r>
                <m:rPr>
                  <m:sty m:val="p"/>
                </m:rPr>
                <m:t>n</m:t>
              </m:r>
            </m:e>
            <m:sub>
              <m:r>
                <m:t>i</m:t>
              </m:r>
            </m:sub>
          </m:sSub>
          <m:r>
            <m:rPr>
              <m:sty m:val="p"/>
            </m:rPr>
            <m:t>+</m:t>
          </m:r>
          <m:sSub>
            <m:e>
              <m:r>
                <m:t>β</m:t>
              </m:r>
            </m:e>
            <m:sub>
              <m:r>
                <m:t>2</m:t>
              </m:r>
            </m:sub>
          </m:sSub>
          <m:sSub>
            <m:e>
              <m:r>
                <m:rPr>
                  <m:sty m:val="p"/>
                </m:rPr>
                <m:t>T</m:t>
              </m:r>
              <m:r>
                <m:rPr>
                  <m:sty m:val="p"/>
                </m:rPr>
                <m:t>e</m:t>
              </m:r>
              <m:r>
                <m:rPr>
                  <m:sty m:val="p"/>
                </m:rPr>
                <m:t>c</m:t>
              </m:r>
              <m:r>
                <m:rPr>
                  <m:sty m:val="p"/>
                </m:rPr>
                <m:t>h</m:t>
              </m:r>
              <m:r>
                <m:rPr>
                  <m:sty m:val="p"/>
                </m:rPr>
                <m:t>A</m:t>
              </m:r>
              <m:r>
                <m:rPr>
                  <m:sty m:val="p"/>
                </m:rPr>
                <m:t>d</m:t>
              </m:r>
              <m:r>
                <m:rPr>
                  <m:sty m:val="p"/>
                </m:rPr>
                <m:t>o</m:t>
              </m:r>
              <m:r>
                <m:rPr>
                  <m:sty m:val="p"/>
                </m:rPr>
                <m:t>p</m:t>
              </m:r>
              <m:r>
                <m:rPr>
                  <m:sty m:val="p"/>
                </m:rPr>
                <m:t>t</m:t>
              </m:r>
            </m:e>
            <m:sub>
              <m:r>
                <m:t>i</m:t>
              </m:r>
            </m:sub>
          </m:sSub>
          <m:r>
            <m:rPr>
              <m:sty m:val="p"/>
            </m:rPr>
            <m:t>+</m:t>
          </m:r>
          <m:sSub>
            <m:e>
              <m:r>
                <m:t>β</m:t>
              </m:r>
            </m:e>
            <m:sub>
              <m:r>
                <m:t>3</m:t>
              </m:r>
            </m:sub>
          </m:sSub>
          <m:sSub>
            <m:e>
              <m:r>
                <m:rPr>
                  <m:sty m:val="p"/>
                </m:rPr>
                <m:t>B</m:t>
              </m:r>
              <m:r>
                <m:rPr>
                  <m:sty m:val="p"/>
                </m:rPr>
                <m:t>a</m:t>
              </m:r>
              <m:r>
                <m:rPr>
                  <m:sty m:val="p"/>
                </m:rPr>
                <m:t>r</m:t>
              </m:r>
              <m:r>
                <m:rPr>
                  <m:sty m:val="p"/>
                </m:rPr>
                <m:t>r</m:t>
              </m:r>
              <m:r>
                <m:rPr>
                  <m:sty m:val="p"/>
                </m:rPr>
                <m:t>i</m:t>
              </m:r>
              <m:r>
                <m:rPr>
                  <m:sty m:val="p"/>
                </m:rPr>
                <m:t>e</m:t>
              </m:r>
              <m:r>
                <m:rPr>
                  <m:sty m:val="p"/>
                </m:rPr>
                <m:t>r</m:t>
              </m:r>
            </m:e>
            <m:sub>
              <m:r>
                <m:t>i</m:t>
              </m:r>
            </m:sub>
          </m:sSub>
          <m:r>
            <m:rPr>
              <m:sty m:val="p"/>
            </m:rPr>
            <m:t>+</m:t>
          </m:r>
          <m:sSub>
            <m:e>
              <m:r>
                <m:t>β</m:t>
              </m:r>
            </m:e>
            <m:sub>
              <m:r>
                <m:t>4</m:t>
              </m:r>
            </m:sub>
          </m:sSub>
          <m:d>
            <m:dPr>
              <m:begChr m:val="("/>
              <m:endChr m:val=")"/>
              <m:sepChr m:val=""/>
              <m:grow/>
            </m:dPr>
            <m:e>
              <m:sSub>
                <m:e>
                  <m:r>
                    <m:rPr>
                      <m:sty m:val="p"/>
                    </m:rPr>
                    <m:t>B</m:t>
                  </m:r>
                  <m:r>
                    <m:rPr>
                      <m:sty m:val="p"/>
                    </m:rPr>
                    <m:t>a</m:t>
                  </m:r>
                  <m:r>
                    <m:rPr>
                      <m:sty m:val="p"/>
                    </m:rPr>
                    <m:t>r</m:t>
                  </m:r>
                  <m:r>
                    <m:rPr>
                      <m:sty m:val="p"/>
                    </m:rPr>
                    <m:t>r</m:t>
                  </m:r>
                  <m:r>
                    <m:rPr>
                      <m:sty m:val="p"/>
                    </m:rPr>
                    <m:t>i</m:t>
                  </m:r>
                  <m:r>
                    <m:rPr>
                      <m:sty m:val="p"/>
                    </m:rPr>
                    <m:t>e</m:t>
                  </m:r>
                  <m:r>
                    <m:rPr>
                      <m:sty m:val="p"/>
                    </m:rPr>
                    <m:t>r</m:t>
                  </m:r>
                </m:e>
                <m:sub>
                  <m:r>
                    <m:t>i</m:t>
                  </m:r>
                </m:sub>
              </m:sSub>
              <m:r>
                <m:rPr>
                  <m:sty m:val="p"/>
                </m:rPr>
                <m:t>×</m:t>
              </m:r>
              <m:sSub>
                <m:e>
                  <m:r>
                    <m:rPr>
                      <m:sty m:val="p"/>
                    </m:rPr>
                    <m:t>T</m:t>
                  </m:r>
                  <m:r>
                    <m:rPr>
                      <m:sty m:val="p"/>
                    </m:rPr>
                    <m:t>e</m:t>
                  </m:r>
                  <m:r>
                    <m:rPr>
                      <m:sty m:val="p"/>
                    </m:rPr>
                    <m:t>c</m:t>
                  </m:r>
                  <m:r>
                    <m:rPr>
                      <m:sty m:val="p"/>
                    </m:rPr>
                    <m:t>h</m:t>
                  </m:r>
                  <m:r>
                    <m:rPr>
                      <m:sty m:val="p"/>
                    </m:rPr>
                    <m:t>A</m:t>
                  </m:r>
                  <m:r>
                    <m:rPr>
                      <m:sty m:val="p"/>
                    </m:rPr>
                    <m:t>d</m:t>
                  </m:r>
                  <m:r>
                    <m:rPr>
                      <m:sty m:val="p"/>
                    </m:rPr>
                    <m:t>o</m:t>
                  </m:r>
                  <m:r>
                    <m:rPr>
                      <m:sty m:val="p"/>
                    </m:rPr>
                    <m:t>p</m:t>
                  </m:r>
                  <m:r>
                    <m:rPr>
                      <m:sty m:val="p"/>
                    </m:rPr>
                    <m:t>t</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r>
            <m:t>β</m:t>
          </m:r>
          <m:d>
            <m:dPr>
              <m:begChr m:val="("/>
              <m:endChr m:val=")"/>
              <m:sepChr m:val=""/>
              <m:grow/>
            </m:dPr>
            <m:e>
              <m:r>
                <m:rPr>
                  <m:sty m:val="p"/>
                </m:rPr>
                <m:t>G</m:t>
              </m:r>
              <m:r>
                <m:rPr>
                  <m:sty m:val="p"/>
                </m:rPr>
                <m:t>C</m:t>
              </m:r>
            </m:e>
          </m:d>
          <m:r>
            <m:rPr>
              <m:sty m:val="p"/>
            </m:rPr>
            <m:t>=</m:t>
          </m:r>
          <m:r>
            <m:rPr>
              <m:sty m:val="p"/>
            </m:rPr>
            <m:t>+</m:t>
          </m:r>
          <m:r>
            <m:t>0</m:t>
          </m:r>
          <m:r>
            <m:rPr>
              <m:sty m:val="p"/>
            </m:rPr>
            <m:t>,</m:t>
          </m:r>
          <m:sSup>
            <m:e>
              <m:r>
                <m:t>990</m:t>
              </m:r>
            </m:e>
            <m:sup>
              <m:r>
                <m:rPr>
                  <m:sty m:val="p"/>
                </m:rPr>
                <m:t>*</m:t>
              </m:r>
              <m:r>
                <m:rPr>
                  <m:sty m:val="p"/>
                </m:rPr>
                <m:t>*</m:t>
              </m:r>
              <m:r>
                <m:rPr>
                  <m:sty m:val="p"/>
                </m:rPr>
                <m:t>*</m:t>
              </m:r>
            </m:sup>
          </m:sSup>
          <m:r>
            <m:rPr>
              <m:sty m:val="p"/>
            </m:rPr>
            <m:t>;</m:t>
          </m:r>
          <m:r>
            <m:t> </m:t>
          </m:r>
          <m:r>
            <m:t>β</m:t>
          </m:r>
          <m:d>
            <m:dPr>
              <m:begChr m:val="("/>
              <m:endChr m:val=")"/>
              <m:sepChr m:val=""/>
              <m:grow/>
            </m:dPr>
            <m:e>
              <m:r>
                <m:rPr>
                  <m:sty m:val="p"/>
                </m:rPr>
                <m:t>S</m:t>
              </m:r>
              <m:r>
                <m:rPr>
                  <m:sty m:val="p"/>
                </m:rPr>
                <m:t>A</m:t>
              </m:r>
            </m:e>
          </m:d>
          <m:r>
            <m:rPr>
              <m:sty m:val="p"/>
            </m:rPr>
            <m:t>=</m:t>
          </m:r>
          <m:r>
            <m:rPr>
              <m:sty m:val="p"/>
            </m:rPr>
            <m:t>+</m:t>
          </m:r>
          <m:r>
            <m:t>0</m:t>
          </m:r>
          <m:r>
            <m:rPr>
              <m:sty m:val="p"/>
            </m:rPr>
            <m:t>,</m:t>
          </m:r>
          <m:sSup>
            <m:e>
              <m:r>
                <m:t>506</m:t>
              </m:r>
            </m:e>
            <m:sup>
              <m:r>
                <m:rPr>
                  <m:sty m:val="p"/>
                </m:rPr>
                <m:t>*</m:t>
              </m:r>
              <m:r>
                <m:rPr>
                  <m:sty m:val="p"/>
                </m:rPr>
                <m:t>*</m:t>
              </m:r>
              <m:r>
                <m:rPr>
                  <m:sty m:val="p"/>
                </m:rPr>
                <m:t>*</m:t>
              </m:r>
            </m:sup>
          </m:sSup>
          <m:r>
            <m:rPr>
              <m:sty m:val="p"/>
            </m:rPr>
            <m:t>;</m:t>
          </m:r>
          <m:r>
            <m:t> </m:t>
          </m:r>
          <m:sSup>
            <m:e>
              <m:r>
                <m:t>R</m:t>
              </m:r>
            </m:e>
            <m:sup>
              <m:r>
                <m:t>2</m:t>
              </m:r>
            </m:sup>
          </m:sSup>
          <m:r>
            <m:rPr>
              <m:sty m:val="p"/>
            </m:rPr>
            <m:t>:</m:t>
          </m:r>
          <m:r>
            <m:t>0</m:t>
          </m:r>
          <m:r>
            <m:rPr>
              <m:sty m:val="p"/>
            </m:rPr>
            <m:t>,</m:t>
          </m:r>
          <m:r>
            <m:t>054</m:t>
          </m:r>
          <m:r>
            <m:rPr>
              <m:sty m:val="p"/>
            </m:rPr>
            <m:t>→</m:t>
          </m:r>
          <m:r>
            <m:t>0</m:t>
          </m:r>
          <m:r>
            <m:rPr>
              <m:sty m:val="p"/>
            </m:rPr>
            <m:t>,</m:t>
          </m:r>
          <m:r>
            <m:t>105</m:t>
          </m:r>
          <m:r>
            <m:rPr>
              <m:sty m:val="p"/>
            </m:rPr>
            <m:t>;</m:t>
          </m:r>
          <m:r>
            <m:t> </m:t>
          </m:r>
          <m:r>
            <m:t>β</m:t>
          </m:r>
          <m:d>
            <m:dPr>
              <m:begChr m:val="("/>
              <m:endChr m:val=")"/>
              <m:sepChr m:val=""/>
              <m:grow/>
            </m:dPr>
            <m:e>
              <m:r>
                <m:rPr>
                  <m:sty m:val="p"/>
                </m:rPr>
                <m:t>B</m:t>
              </m:r>
              <m:r>
                <m:rPr>
                  <m:sty m:val="p"/>
                </m:rPr>
                <m:t>a</m:t>
              </m:r>
              <m:r>
                <m:rPr>
                  <m:sty m:val="p"/>
                </m:rPr>
                <m:t>r</m:t>
              </m:r>
              <m:r>
                <m:rPr>
                  <m:sty m:val="p"/>
                </m:rPr>
                <m:t>r</m:t>
              </m:r>
              <m:r>
                <m:rPr>
                  <m:sty m:val="p"/>
                </m:rPr>
                <m:t>i</m:t>
              </m:r>
              <m:r>
                <m:rPr>
                  <m:sty m:val="p"/>
                </m:rPr>
                <m:t>e</m:t>
              </m:r>
              <m:r>
                <m:rPr>
                  <m:sty m:val="p"/>
                </m:rPr>
                <m:t>r</m:t>
              </m:r>
            </m:e>
          </m:d>
          <m:r>
            <m:rPr>
              <m:sty m:val="p"/>
            </m:rPr>
            <m:t>=</m:t>
          </m:r>
          <m:r>
            <m:rPr>
              <m:sty m:val="p"/>
            </m:rPr>
            <m:t>−</m:t>
          </m:r>
          <m:r>
            <m:t>0</m:t>
          </m:r>
          <m:r>
            <m:rPr>
              <m:sty m:val="p"/>
            </m:rPr>
            <m:t>,</m:t>
          </m:r>
          <m:sSup>
            <m:e>
              <m:r>
                <m:t>076</m:t>
              </m:r>
            </m:e>
            <m:sup>
              <m:r>
                <m:rPr>
                  <m:sty m:val="p"/>
                </m:rPr>
                <m:t>*</m:t>
              </m:r>
              <m:r>
                <m:rPr>
                  <m:sty m:val="p"/>
                </m:rPr>
                <m:t>*</m:t>
              </m:r>
              <m:r>
                <m:rPr>
                  <m:sty m:val="p"/>
                </m:rPr>
                <m:t>*</m:t>
              </m:r>
            </m:sup>
          </m:sSup>
          <m:r>
            <m:rPr>
              <m:sty m:val="p"/>
            </m:rPr>
            <m:t>;</m:t>
          </m:r>
          <m:r>
            <m:t> </m:t>
          </m:r>
          <m:r>
            <m:t>β</m:t>
          </m:r>
          <m:d>
            <m:dPr>
              <m:begChr m:val="("/>
              <m:endChr m:val=")"/>
              <m:sepChr m:val=""/>
              <m:grow/>
            </m:dPr>
            <m:e>
              <m:r>
                <m:rPr>
                  <m:sty m:val="p"/>
                </m:rPr>
                <m:t>B</m:t>
              </m:r>
              <m:r>
                <m:rPr>
                  <m:sty m:val="p"/>
                </m:rPr>
                <m:t>a</m:t>
              </m:r>
              <m:r>
                <m:rPr>
                  <m:sty m:val="p"/>
                </m:rPr>
                <m:t>r</m:t>
              </m:r>
              <m:r>
                <m:rPr>
                  <m:sty m:val="p"/>
                </m:rPr>
                <m:t>r</m:t>
              </m:r>
              <m:r>
                <m:rPr>
                  <m:sty m:val="p"/>
                </m:rPr>
                <m:t>i</m:t>
              </m:r>
              <m:r>
                <m:rPr>
                  <m:sty m:val="p"/>
                </m:rPr>
                <m:t>e</m:t>
              </m:r>
              <m:r>
                <m:rPr>
                  <m:sty m:val="p"/>
                </m:rPr>
                <m:t>r</m:t>
              </m:r>
              <m:r>
                <m:rPr>
                  <m:sty m:val="p"/>
                </m:rPr>
                <m:t>×</m:t>
              </m:r>
              <m:r>
                <m:rPr>
                  <m:sty m:val="p"/>
                </m:rPr>
                <m:t>T</m:t>
              </m:r>
              <m:r>
                <m:rPr>
                  <m:sty m:val="p"/>
                </m:rPr>
                <m:t>e</m:t>
              </m:r>
              <m:r>
                <m:rPr>
                  <m:sty m:val="p"/>
                </m:rPr>
                <m:t>c</m:t>
              </m:r>
              <m:r>
                <m:rPr>
                  <m:sty m:val="p"/>
                </m:rPr>
                <m:t>h</m:t>
              </m:r>
            </m:e>
          </m:d>
          <m:r>
            <m:rPr>
              <m:sty m:val="p"/>
            </m:rPr>
            <m:t>=</m:t>
          </m:r>
          <m:r>
            <m:rPr>
              <m:sty m:val="p"/>
            </m:rPr>
            <m:t>+</m:t>
          </m:r>
          <m:r>
            <m:t>0</m:t>
          </m:r>
          <m:r>
            <m:rPr>
              <m:sty m:val="p"/>
            </m:rPr>
            <m:t>,</m:t>
          </m:r>
          <m:sSup>
            <m:e>
              <m:r>
                <m:t>110</m:t>
              </m:r>
            </m:e>
            <m:sup>
              <m:r>
                <m:rPr>
                  <m:sty m:val="p"/>
                </m:rPr>
                <m:t>*</m:t>
              </m:r>
              <m:r>
                <m:rPr>
                  <m:sty m:val="p"/>
                </m:rPr>
                <m:t>*</m:t>
              </m:r>
              <m:r>
                <m:rPr>
                  <m:sty m:val="p"/>
                </m:rPr>
                <m:t>*</m:t>
              </m:r>
            </m:sup>
          </m:sSup>
        </m:oMath>
      </m:oMathPara>
    </w:p>
    <w:p>
      <w:pPr>
        <w:pStyle w:val="FirstParagraph"/>
      </w:pPr>
      <w:r>
        <w:t xml:space="preserve">Tương tác dương là bằng chứng định lượng cho</w:t>
      </w:r>
      <w:r>
        <w:t xml:space="preserve"> </w:t>
      </w:r>
      <w:r>
        <w:rPr>
          <w:bCs/>
          <w:b/>
        </w:rPr>
        <w:t xml:space="preserve">hiệu ứng lá chắn số</w:t>
      </w:r>
      <w:r>
        <w:t xml:space="preserve">: chấp nhận công nghệ triệt tiêu phần lớn tổn thất năng suất do rào cản thể chế, đúng theo logic khung CDCM.</w:t>
      </w:r>
    </w:p>
    <w:p>
      <w:pPr>
        <w:pStyle w:val="BodyText"/>
      </w:pPr>
      <w:r>
        <w:rPr>
          <w:bCs/>
          <w:b/>
        </w:rPr>
        <w:t xml:space="preserve">Nghiên cứu 2 (P2): chữ U ngược và bẫy vốn lưu động ở doanh nghiệp nhỏ và vừa Trung Quốc.</w:t>
      </w:r>
      <w:r>
        <w:t xml:space="preserve"> </w:t>
      </w:r>
      <w:r>
        <w:t xml:space="preserve">Mẫu</w:t>
      </w:r>
      <w:r>
        <w:t xml:space="preserve"> </w:t>
      </w:r>
      <m:oMath>
        <m:r>
          <m:t>N</m:t>
        </m:r>
        <m:r>
          <m:rPr>
            <m:sty m:val="p"/>
          </m:rPr>
          <m:t>=</m:t>
        </m:r>
        <m:r>
          <m:t>4.290</m:t>
        </m:r>
      </m:oMath>
      <w:r>
        <w:t xml:space="preserve"> </w:t>
      </w:r>
      <w:r>
        <w:t xml:space="preserve">quan sát doanh nghiệp và năm, doanh nghiệp sản xuất nhỏ và vừa (mã ngành ISIC 15–37). Cường độ xuất khẩu trung bình 23,7% (độ lệch chuẩn 28,4%), 18% doanh nghiệp có FSTS vượt 50%. Ước lượng mô hình bậc hai với hiệu ứng cố định ngành và năm:</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i</m:t>
              </m:r>
              <m:r>
                <m:t>t</m:t>
              </m:r>
            </m:sub>
          </m:sSub>
          <m:r>
            <m:rPr>
              <m:sty m:val="p"/>
            </m:rPr>
            <m:t>+</m:t>
          </m:r>
          <m:sSub>
            <m:e>
              <m:r>
                <m:t>β</m:t>
              </m:r>
            </m:e>
            <m:sub>
              <m:r>
                <m:t>2</m:t>
              </m:r>
            </m:sub>
          </m:sSub>
          <m:sSubSup>
            <m:e>
              <m:r>
                <m:rPr>
                  <m:sty m:val="p"/>
                </m:rPr>
                <m:t>F</m:t>
              </m:r>
              <m:r>
                <m:rPr>
                  <m:sty m:val="p"/>
                </m:rPr>
                <m:t>S</m:t>
              </m:r>
              <m:r>
                <m:rPr>
                  <m:sty m:val="p"/>
                </m:rPr>
                <m:t>T</m:t>
              </m:r>
              <m:r>
                <m:rPr>
                  <m:sty m:val="p"/>
                </m:rPr>
                <m:t>S</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sSup>
            <m:e>
              <m:r>
                <m:t>704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sty m:val="p"/>
            </m:rPr>
            <m:t>;</m:t>
          </m:r>
          <m:r>
            <m:t> </m:t>
          </m:r>
          <m:sSub>
            <m:e>
              <m:r>
                <m:t>β</m:t>
              </m:r>
            </m:e>
            <m:sub>
              <m:r>
                <m:t>2</m:t>
              </m:r>
            </m:sub>
          </m:sSub>
          <m:r>
            <m:rPr>
              <m:sty m:val="p"/>
            </m:rPr>
            <m:t>&lt;</m:t>
          </m:r>
          <m:r>
            <m:t>0</m:t>
          </m:r>
          <m:r>
            <m:t> </m:t>
          </m:r>
          <m:d>
            <m:dPr>
              <m:begChr m:val="("/>
              <m:endChr m:val=")"/>
              <m:sepChr m:val=""/>
              <m:grow/>
            </m:dPr>
            <m:e>
              <m:r>
                <m:t>p</m:t>
              </m:r>
              <m:r>
                <m:rPr>
                  <m:sty m:val="p"/>
                </m:rPr>
                <m:t>&lt;</m:t>
              </m:r>
              <m:r>
                <m:rPr>
                  <m:sty m:val="p"/>
                </m:rPr>
                <m:t>,</m:t>
              </m:r>
              <m:r>
                <m:t>001</m:t>
              </m:r>
            </m:e>
          </m:d>
          <m:r>
            <m:rPr>
              <m:sty m:val="p"/>
            </m:rPr>
            <m:t>;</m:t>
          </m:r>
          <m:r>
            <m:t> </m:t>
          </m:r>
          <m:r>
            <m:rPr>
              <m:sty m:val="p"/>
            </m:rPr>
            <m:t>T</m:t>
          </m:r>
          <m:r>
            <m:rPr>
              <m:sty m:val="p"/>
            </m:rPr>
            <m:t>P</m:t>
          </m:r>
          <m:r>
            <m:rPr>
              <m:sty m:val="p"/>
            </m:rPr>
            <m:t>=</m:t>
          </m:r>
          <m:r>
            <m:t>47</m:t>
          </m:r>
          <m:r>
            <m:rPr>
              <m:sty m:val="p"/>
            </m:rPr>
            <m:t>,</m:t>
          </m:r>
          <m:r>
            <m:t>8</m:t>
          </m:r>
          <m:r>
            <m:rPr>
              <m:sty m:val="p"/>
            </m:rPr>
            <m:t>%</m:t>
          </m:r>
          <m:r>
            <m:t> </m:t>
          </m:r>
          <m:r>
            <m:rPr>
              <m:nor/>
              <m:sty m:val="p"/>
            </m:rPr>
            <m:t>(Lind–Mehlum xác nhận)</m:t>
          </m:r>
        </m:oMath>
      </m:oMathPara>
    </w:p>
    <w:p>
      <w:pPr>
        <w:pStyle w:val="FirstParagraph"/>
      </w:pPr>
      <w:r>
        <w:t xml:space="preserve">Điểm uốn 47,8% sát ngưỡng P5 (48,8%) và trong dải vận hành an toàn 30–60% xuyên suốt luận án. Đóng góp đặc thù của P2 là cơ chế nhánh đi xuống:</w:t>
      </w:r>
      <w:r>
        <w:t xml:space="preserve"> </w:t>
      </w:r>
      <w:r>
        <w:rPr>
          <w:bCs/>
          <w:b/>
        </w:rPr>
        <w:t xml:space="preserve">bẫy vốn lưu động</w:t>
      </w:r>
      <w:r>
        <w:t xml:space="preserve"> </w:t>
      </w:r>
      <w:r>
        <w:t xml:space="preserve">(chu kỳ chuyển đổi tiền mặt kéo dài khi cường độ xuất khẩu cao). P2 là kiểm định độc lập, củng cố độ vững của điểm uốn Trung Quốc trên một lát cắt mẫu khác.</w:t>
      </w:r>
    </w:p>
    <w:p>
      <w:pPr>
        <w:pStyle w:val="BodyText"/>
      </w:pPr>
      <w:r>
        <w:rPr>
          <w:iCs/>
          <w:i/>
        </w:rPr>
        <w:t xml:space="preserve">Ghi chú: P1 và P2 là nghiên cứu nền tảng/bổ trợ, không nằm trong chuỗi bảy nghiên cứu đường cong chính nhưng cung cấp neo thực nghiệm cho hai trụ cột của khung CDCM (lá chắn số ở P1; điểm uốn và cơ chế tài chính ở P2). Số hạng FSTS vắng mặt ở P1 do thiết kế tập trung vào phân tầng năng lực vùng.</w:t>
      </w:r>
    </w:p>
    <w:p>
      <w:r>
        <w:pict>
          <v:rect style="width:0;height:1.5pt" o:hralign="center" o:hrstd="t" o:hr="t"/>
        </w:pict>
      </w:r>
    </w:p>
    <w:bookmarkEnd w:id="129"/>
    <w:bookmarkStart w:id="130" w:name="X92626cf16d7ade7145561606a3bab8b2a583963"/>
    <w:p>
      <w:pPr>
        <w:pStyle w:val="Heading4"/>
      </w:pPr>
      <w:r>
        <w:t xml:space="preserve">3.4.5.9 Nghiên cứu tam giác hóa đã công bố: chương sách quản trị cấp cao Ấn Độ (Đỗ và Phan, 2025)</w:t>
      </w:r>
    </w:p>
    <w:p>
      <w:pPr>
        <w:pStyle w:val="FirstParagraph"/>
      </w:pPr>
      <w:r>
        <w:t xml:space="preserve">Một nghiên cứu đã xuất bản của nhóm tác giả (Đỗ và Phan, 2025, IntechOpen, DOI 10.5772/intechopen.1011012) cung cấp bằng chứng tam giác hóa độc lập cho bối cảnh Ấn Độ, tiếp cận từ khung lý thuyết và đặc tả</w:t>
      </w:r>
      <w:r>
        <w:t xml:space="preserve"> </w:t>
      </w:r>
      <w:r>
        <w:rPr>
          <w:bCs/>
          <w:b/>
        </w:rPr>
        <w:t xml:space="preserve">khác hẳn</w:t>
      </w:r>
      <w:r>
        <w:t xml:space="preserve"> </w:t>
      </w:r>
      <w:r>
        <w:t xml:space="preserve">Nghiên cứu 9. Vì hội đồng không thể truy cập toàn văn ấn phẩm này, thiết kế của nó được tóm tắt tại đây để luận án tự chứa.</w:t>
      </w:r>
    </w:p>
    <w:p>
      <w:pPr>
        <w:numPr>
          <w:ilvl w:val="0"/>
          <w:numId w:val="1013"/>
        </w:numPr>
        <w:pStyle w:val="Compact"/>
      </w:pPr>
      <w:r>
        <w:rPr>
          <w:bCs/>
          <w:b/>
        </w:rPr>
        <w:t xml:space="preserve">Biến phụ thuộc</w:t>
      </w:r>
      <w:r>
        <w:t xml:space="preserve">: tỷ suất lợi nhuận trên doanh thu (ROS), trung bình 30,34% (miền −660% đến 98,166%), khác với biến năng suất lao động dạng logarit của Nghiên cứu 9.</w:t>
      </w:r>
    </w:p>
    <w:p>
      <w:pPr>
        <w:numPr>
          <w:ilvl w:val="0"/>
          <w:numId w:val="1013"/>
        </w:numPr>
        <w:pStyle w:val="Compact"/>
      </w:pPr>
      <w:r>
        <w:rPr>
          <w:bCs/>
          <w:b/>
        </w:rPr>
        <w:t xml:space="preserve">Biến độc lập</w:t>
      </w:r>
      <w:r>
        <w:t xml:space="preserve">: mức độ quốc tế hóa (DOI),</w:t>
      </w:r>
      <w:r>
        <w:t xml:space="preserve"> </w:t>
      </w:r>
      <w:r>
        <w:rPr>
          <w:bCs/>
          <w:b/>
        </w:rPr>
        <w:t xml:space="preserve">đặc tả tuyến tính</w:t>
      </w:r>
      <w:r>
        <w:t xml:space="preserve"> </w:t>
      </w:r>
      <w:r>
        <w:t xml:space="preserve">(không bậc hai), trung bình 5,6% (miền 0–100%).</w:t>
      </w:r>
    </w:p>
    <w:p>
      <w:pPr>
        <w:numPr>
          <w:ilvl w:val="0"/>
          <w:numId w:val="1013"/>
        </w:numPr>
        <w:pStyle w:val="Compact"/>
      </w:pPr>
      <w:r>
        <w:rPr>
          <w:bCs/>
          <w:b/>
        </w:rPr>
        <w:t xml:space="preserve">Khung lý thuyết</w:t>
      </w:r>
      <w:r>
        <w:t xml:space="preserve">: mô hình Uppsala (Johanson và Vahlne, 1977) kết hợp lý thuyết thượng tầng quản trị (Upper Echelons; Hambrick và Mason, 1984), khác với khung CDCM của Nghiên cứu 9.</w:t>
      </w:r>
    </w:p>
    <w:p>
      <w:pPr>
        <w:numPr>
          <w:ilvl w:val="0"/>
          <w:numId w:val="1013"/>
        </w:numPr>
        <w:pStyle w:val="Compact"/>
      </w:pPr>
      <w:r>
        <w:rPr>
          <w:bCs/>
          <w:b/>
        </w:rPr>
        <w:t xml:space="preserve">Biến điều tiết</w:t>
      </w:r>
      <w:r>
        <w:t xml:space="preserve">: kinh nghiệm nhà quản trị cấp cao (số năm) và giới tính nữ của nhà quản trị cấp cao.</w:t>
      </w:r>
    </w:p>
    <w:p>
      <w:pPr>
        <w:numPr>
          <w:ilvl w:val="0"/>
          <w:numId w:val="1013"/>
        </w:numPr>
        <w:pStyle w:val="Compact"/>
      </w:pPr>
      <w:r>
        <w:rPr>
          <w:bCs/>
          <w:b/>
        </w:rPr>
        <w:t xml:space="preserve">Phương pháp ước lượng</w:t>
      </w:r>
      <w:r>
        <w:t xml:space="preserve">: bình phương nhỏ nhất tổng quát khả thi (FGLS) trên dữ liệu bảng, xử lý phương sai thay đổi.</w:t>
      </w:r>
    </w:p>
    <w:p>
      <w:pPr>
        <w:numPr>
          <w:ilvl w:val="0"/>
          <w:numId w:val="1013"/>
        </w:numPr>
        <w:pStyle w:val="Compact"/>
      </w:pPr>
      <w:r>
        <w:rPr>
          <w:bCs/>
          <w:b/>
        </w:rPr>
        <w:t xml:space="preserve">Mẫu</w:t>
      </w:r>
      <w:r>
        <w:t xml:space="preserve">:</w:t>
      </w:r>
      <w:r>
        <w:t xml:space="preserve"> </w:t>
      </w:r>
      <m:oMath>
        <m:r>
          <m:t>N</m:t>
        </m:r>
        <m:r>
          <m:rPr>
            <m:sty m:val="p"/>
          </m:rPr>
          <m:t>=</m:t>
        </m:r>
        <m:r>
          <m:t>760</m:t>
        </m:r>
      </m:oMath>
      <w:r>
        <w:t xml:space="preserve"> </w:t>
      </w:r>
      <w:r>
        <w:t xml:space="preserve">quan sát doanh nghiệp và năm = 380 doanh nghiệp × 2 đợt (mẫu con bảng cân đối của WBES Ấn Độ), khác với mẫu đầy đủ ~10.000 doanh nghiệp/đợt của Nghiên cứu 9.</w:t>
      </w:r>
    </w:p>
    <w:p>
      <w:pPr>
        <w:pStyle w:val="FirstParagraph"/>
      </w:pPr>
      <m:oMathPara>
        <m:oMathParaPr>
          <m:jc m:val="center"/>
        </m:oMathParaPr>
        <m:oMath>
          <m:sSub>
            <m:e>
              <m:r>
                <m:rPr>
                  <m:sty m:val="p"/>
                </m:rPr>
                <m:t>R</m:t>
              </m:r>
              <m:r>
                <m:rPr>
                  <m:sty m:val="p"/>
                </m:rPr>
                <m:t>O</m:t>
              </m:r>
              <m:r>
                <m:rPr>
                  <m:sty m:val="p"/>
                </m:rPr>
                <m:t>S</m:t>
              </m:r>
            </m:e>
            <m:sub>
              <m:r>
                <m:t>i</m:t>
              </m:r>
              <m:r>
                <m:t>t</m:t>
              </m:r>
            </m:sub>
          </m:sSub>
          <m:r>
            <m:rPr>
              <m:sty m:val="p"/>
            </m:rPr>
            <m:t>=</m:t>
          </m:r>
          <m:r>
            <m:t>α</m:t>
          </m:r>
          <m:r>
            <m:rPr>
              <m:sty m:val="p"/>
            </m:rPr>
            <m:t>+</m:t>
          </m:r>
          <m:sSub>
            <m:e>
              <m:r>
                <m:t>β</m:t>
              </m:r>
            </m:e>
            <m:sub>
              <m:r>
                <m:t>1</m:t>
              </m:r>
            </m:sub>
          </m:sSub>
          <m:sSub>
            <m:e>
              <m:r>
                <m:rPr>
                  <m:sty m:val="p"/>
                </m:rPr>
                <m:t>D</m:t>
              </m:r>
              <m:r>
                <m:rPr>
                  <m:sty m:val="p"/>
                </m:rPr>
                <m:t>O</m:t>
              </m:r>
              <m:r>
                <m:rPr>
                  <m:sty m:val="p"/>
                </m:rPr>
                <m:t>I</m:t>
              </m:r>
            </m:e>
            <m:sub>
              <m:r>
                <m:t>i</m:t>
              </m:r>
              <m:r>
                <m:t>t</m:t>
              </m:r>
            </m:sub>
          </m:sSub>
          <m:r>
            <m:rPr>
              <m:sty m:val="p"/>
            </m:rPr>
            <m:t>+</m:t>
          </m:r>
          <m:sSub>
            <m:e>
              <m:r>
                <m:t>β</m:t>
              </m:r>
            </m:e>
            <m:sub>
              <m:r>
                <m:t>2</m:t>
              </m:r>
            </m:sub>
          </m:sSub>
          <m:d>
            <m:dPr>
              <m:begChr m:val="("/>
              <m:endChr m:val=")"/>
              <m:sepChr m:val=""/>
              <m:grow/>
            </m:dPr>
            <m:e>
              <m:sSub>
                <m:e>
                  <m:r>
                    <m:rPr>
                      <m:sty m:val="p"/>
                    </m:rPr>
                    <m:t>D</m:t>
                  </m:r>
                  <m:r>
                    <m:rPr>
                      <m:sty m:val="p"/>
                    </m:rPr>
                    <m:t>O</m:t>
                  </m:r>
                  <m:r>
                    <m:rPr>
                      <m:sty m:val="p"/>
                    </m:rPr>
                    <m:t>I</m:t>
                  </m:r>
                </m:e>
                <m:sub>
                  <m:r>
                    <m:t>i</m:t>
                  </m:r>
                  <m:r>
                    <m:t>t</m:t>
                  </m:r>
                </m:sub>
              </m:sSub>
              <m:r>
                <m:rPr>
                  <m:sty m:val="p"/>
                </m:rPr>
                <m:t>×</m:t>
              </m:r>
              <m:sSub>
                <m:e>
                  <m:r>
                    <m:rPr>
                      <m:sty m:val="p"/>
                    </m:rPr>
                    <m:t>M</m:t>
                  </m:r>
                  <m:r>
                    <m:rPr>
                      <m:sty m:val="p"/>
                    </m:rPr>
                    <m:t>g</m:t>
                  </m:r>
                  <m:r>
                    <m:rPr>
                      <m:sty m:val="p"/>
                    </m:rPr>
                    <m:t>r</m:t>
                  </m:r>
                  <m:r>
                    <m:rPr>
                      <m:sty m:val="p"/>
                    </m:rPr>
                    <m:t>E</m:t>
                  </m:r>
                  <m:r>
                    <m:rPr>
                      <m:sty m:val="p"/>
                    </m:rPr>
                    <m:t>x</m:t>
                  </m:r>
                  <m:r>
                    <m:rPr>
                      <m:sty m:val="p"/>
                    </m:rPr>
                    <m:t>p</m:t>
                  </m:r>
                </m:e>
                <m:sub>
                  <m:r>
                    <m:t>i</m:t>
                  </m:r>
                  <m:r>
                    <m:t>t</m:t>
                  </m:r>
                </m:sub>
              </m:sSub>
            </m:e>
          </m:d>
          <m:r>
            <m:rPr>
              <m:sty m:val="p"/>
            </m:rPr>
            <m:t>+</m:t>
          </m:r>
          <m:sSub>
            <m:e>
              <m:r>
                <m:t>β</m:t>
              </m:r>
            </m:e>
            <m:sub>
              <m:r>
                <m:t>3</m:t>
              </m:r>
            </m:sub>
          </m:sSub>
          <m:d>
            <m:dPr>
              <m:begChr m:val="("/>
              <m:endChr m:val=")"/>
              <m:sepChr m:val=""/>
              <m:grow/>
            </m:dPr>
            <m:e>
              <m:sSub>
                <m:e>
                  <m:r>
                    <m:rPr>
                      <m:sty m:val="p"/>
                    </m:rPr>
                    <m:t>D</m:t>
                  </m:r>
                  <m:r>
                    <m:rPr>
                      <m:sty m:val="p"/>
                    </m:rPr>
                    <m:t>O</m:t>
                  </m:r>
                  <m:r>
                    <m:rPr>
                      <m:sty m:val="p"/>
                    </m:rPr>
                    <m:t>I</m:t>
                  </m:r>
                </m:e>
                <m:sub>
                  <m:r>
                    <m:t>i</m:t>
                  </m:r>
                  <m:r>
                    <m:t>t</m:t>
                  </m:r>
                </m:sub>
              </m:sSub>
              <m:r>
                <m:rPr>
                  <m:sty m:val="p"/>
                </m:rPr>
                <m:t>×</m:t>
              </m:r>
              <m:sSub>
                <m:e>
                  <m:r>
                    <m:rPr>
                      <m:sty m:val="p"/>
                    </m:rPr>
                    <m:t>M</m:t>
                  </m:r>
                  <m:r>
                    <m:rPr>
                      <m:sty m:val="p"/>
                    </m:rPr>
                    <m:t>g</m:t>
                  </m:r>
                  <m:r>
                    <m:rPr>
                      <m:sty m:val="p"/>
                    </m:rPr>
                    <m:t>r</m:t>
                  </m:r>
                  <m:r>
                    <m:rPr>
                      <m:sty m:val="p"/>
                    </m:rPr>
                    <m:t>F</m:t>
                  </m:r>
                  <m:r>
                    <m:rPr>
                      <m:sty m:val="p"/>
                    </m:rPr>
                    <m:t>e</m:t>
                  </m:r>
                  <m:r>
                    <m:rPr>
                      <m:sty m:val="p"/>
                    </m:rPr>
                    <m:t>m</m:t>
                  </m:r>
                </m:e>
                <m:sub>
                  <m:r>
                    <m:t>i</m:t>
                  </m:r>
                  <m:r>
                    <m:t>t</m:t>
                  </m:r>
                </m:sub>
              </m:sSub>
            </m:e>
          </m:d>
          <m:r>
            <m:rPr>
              <m:sty m:val="p"/>
            </m:rPr>
            <m:t>+</m:t>
          </m:r>
          <m:r>
            <m:rPr>
              <m:sty m:val="b"/>
            </m:rPr>
            <m:t>γ</m:t>
          </m:r>
          <m:sSub>
            <m:e>
              <m:r>
                <m:rPr>
                  <m:sty m:val="b"/>
                </m:rPr>
                <m:t>X</m:t>
              </m:r>
            </m:e>
            <m:sub>
              <m:r>
                <m:t>i</m:t>
              </m:r>
              <m:r>
                <m:t>t</m:t>
              </m:r>
            </m:sub>
          </m:sSub>
          <m:r>
            <m:rPr>
              <m:sty m:val="p"/>
            </m:rPr>
            <m:t>+</m:t>
          </m:r>
          <m:sSub>
            <m:e>
              <m:r>
                <m:t>u</m:t>
              </m:r>
            </m:e>
            <m:sub>
              <m:r>
                <m:t>i</m:t>
              </m:r>
              <m:r>
                <m:t>t</m:t>
              </m:r>
            </m:sub>
          </m:sSub>
        </m:oMath>
      </m:oMathPara>
    </w:p>
    <w:p>
      <w:pPr>
        <w:pStyle w:val="FirstParagraph"/>
      </w:pPr>
      <w:r>
        <w:t xml:space="preserve">Kết quả: quốc tế hóa có hiệu ứng tuyến tính</w:t>
      </w:r>
      <w:r>
        <w:t xml:space="preserve"> </w:t>
      </w:r>
      <w:r>
        <w:rPr>
          <w:bCs/>
          <w:b/>
        </w:rPr>
        <w:t xml:space="preserve">âm</w:t>
      </w:r>
      <w:r>
        <w:t xml:space="preserve"> </w:t>
      </w:r>
      <w:r>
        <w:t xml:space="preserve">lên hiệu quả (</w:t>
      </w:r>
      <m:oMath>
        <m:sSub>
          <m:e>
            <m:acc>
              <m:accPr>
                <m:chr m:val="̂"/>
              </m:accPr>
              <m:e>
                <m:r>
                  <m:t>β</m:t>
                </m:r>
              </m:e>
            </m:acc>
          </m:e>
          <m:sub>
            <m:r>
              <m:t>1</m:t>
            </m:r>
          </m:sub>
        </m:sSub>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kinh nghiệm quản trị điều tiết</w:t>
      </w:r>
      <w:r>
        <w:t xml:space="preserve"> </w:t>
      </w:r>
      <w:r>
        <w:rPr>
          <w:bCs/>
          <w:b/>
        </w:rPr>
        <w:t xml:space="preserve">dương</w:t>
      </w:r>
      <w:r>
        <w:t xml:space="preserve"> </w:t>
      </w:r>
      <w:r>
        <w:t xml:space="preserve">(</w:t>
      </w:r>
      <m:oMath>
        <m:sSub>
          <m:e>
            <m:acc>
              <m:accPr>
                <m:chr m:val="̂"/>
              </m:accPr>
              <m:e>
                <m:r>
                  <m:t>β</m:t>
                </m:r>
              </m:e>
            </m:acc>
          </m:e>
          <m:sub>
            <m:r>
              <m:t>2</m:t>
            </m:r>
          </m:sub>
        </m:sSub>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nữ quản trị cấp cao điều tiết</w:t>
      </w:r>
      <w:r>
        <w:t xml:space="preserve"> </w:t>
      </w:r>
      <w:r>
        <w:rPr>
          <w:bCs/>
          <w:b/>
        </w:rPr>
        <w:t xml:space="preserve">dương</w:t>
      </w:r>
      <w:r>
        <w:t xml:space="preserve"> </w:t>
      </w:r>
      <w:r>
        <w:t xml:space="preserve">(</w:t>
      </w:r>
      <m:oMath>
        <m:sSub>
          <m:e>
            <m:acc>
              <m:accPr>
                <m:chr m:val="̂"/>
              </m:accPr>
              <m:e>
                <m:r>
                  <m:t>β</m:t>
                </m:r>
              </m:e>
            </m:acc>
          </m:e>
          <m:sub>
            <m:r>
              <m:t>3</m:t>
            </m:r>
          </m:sub>
        </m:sSub>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Ba mệnh đề đều được ủng hộ.</w:t>
      </w:r>
    </w:p>
    <w:p>
      <w:pPr>
        <w:pStyle w:val="BodyText"/>
      </w:pPr>
      <w:r>
        <w:rPr>
          <w:iCs/>
          <w:i/>
        </w:rPr>
        <w:t xml:space="preserve">Ghi chú: Đây là ấn phẩm đã công bố (prior work), không phải đóng góp mới của luận án. Chồng lấn khái niệm, thực nghiệm và phương pháp với Nghiên cứu 9 gần bằng không (biến phụ thuộc, đặc tả, khung lý thuyết, biến điều tiết, mẫu đều khác); luận án trích dẫn book chapter như bằng chứng tam giác hóa và như công trình tiền nhiệm được công bố minh bạch. Chi tiết khác biệt:</w:t>
      </w:r>
      <w:r>
        <w:rPr>
          <w:iCs/>
          <w:i/>
        </w:rPr>
        <w:t xml:space="preserve"> </w:t>
      </w:r>
      <w:r>
        <w:rPr>
          <w:rStyle w:val="VerbatimChar"/>
          <w:iCs/>
          <w:i/>
        </w:rPr>
        <w:t xml:space="preserve">p9_india/BOOK_CHAPTER_DIFFERENTIATION.md</w:t>
      </w:r>
      <w:r>
        <w:rPr>
          <w:iCs/>
          <w:i/>
        </w:rPr>
        <w:t xml:space="preserve">. Kết quả được tham chiếu tại Chương 4, Mục 4.8.4.</w:t>
      </w:r>
    </w:p>
    <w:bookmarkEnd w:id="130"/>
    <w:bookmarkEnd w:id="131"/>
    <w:bookmarkStart w:id="132"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132"/>
    <w:bookmarkStart w:id="133"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mô hình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133"/>
    <w:bookmarkEnd w:id="134"/>
    <w:bookmarkStart w:id="146" w:name="kiểm-định-độ-vững"/>
    <w:p>
      <w:pPr>
        <w:pStyle w:val="Heading2"/>
      </w:pPr>
      <w:r>
        <w:t xml:space="preserve">3.5 Kiểm định độ vững</w:t>
      </w:r>
    </w:p>
    <w:bookmarkStart w:id="135"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Bậc 1 và biến thể gồm cả Bậc 2 trên mẫu con từ năm 2024 trở đi, nơi các chỉ báo số phong phú hơn đã sẵn có.</w:t>
      </w:r>
    </w:p>
    <w:bookmarkEnd w:id="135"/>
    <w:bookmarkStart w:id="136"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136"/>
    <w:bookmarkStart w:id="137"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137"/>
    <w:bookmarkStart w:id="138"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mô hình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138"/>
    <w:bookmarkStart w:id="139"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139"/>
    <w:bookmarkStart w:id="140"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mô hình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Bậc 1 và biến thể Bậc 1 cộng Bậc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140"/>
    <w:bookmarkStart w:id="141"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50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phổ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141"/>
    <w:bookmarkStart w:id="142"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Bậc 1 không khác biệt thống kê với không, một kết quả độ vững củng cố cách diễn giải tính lỗi thời của biến đại diện Bậc 1 trong môi trường số đã lan tỏa gần phổ quát.</w:t>
      </w:r>
    </w:p>
    <w:bookmarkEnd w:id="142"/>
    <w:bookmarkStart w:id="143"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143"/>
    <w:bookmarkStart w:id="144" w:name="Xd3efa1c9933abf55f73b5b64d09df1e1f7d5dcd"/>
    <w:p>
      <w:pPr>
        <w:pStyle w:val="Heading3"/>
      </w:pPr>
      <w:r>
        <w:t xml:space="preserve">3.5.6.3 Tính nhất quán về dấu qua nhiều mô hình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mô hình,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mô hình: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Việc đối chiếu chéo giữa hiệu ứng mức ổn định và hiệu ứng điều tiết không có ý nghĩa, lặp lại qua nhiều nghiên cứu thành phần và nhiều chế độ thể chế, là chính cấu trúc bằng chứng cho phép luận án phân biệt một quy luật cấu trúc bền vững khỏi một hiệu ứng ngẫu nhiên của mẫu.</w:t>
      </w:r>
    </w:p>
    <w:bookmarkEnd w:id="144"/>
    <w:bookmarkStart w:id="145" w:name="X1ba20c2af5cc926bcdfa5cd872c426ad83188dc"/>
    <w:p>
      <w:pPr>
        <w:pStyle w:val="Heading3"/>
      </w:pPr>
      <w:r>
        <w:t xml:space="preserve">3.5.6.4 Ba kiểm định độ vững bổ sung trên khung canonical 50 nền</w:t>
      </w:r>
    </w:p>
    <w:p>
      <w:pPr>
        <w:pStyle w:val="FirstParagraph"/>
      </w:pPr>
      <w:r>
        <w:t xml:space="preserve">Ba kiểm định bổ sung dưới đây được tái lập trực tiếp từ khung dữ liệu canonical (</w:t>
      </w:r>
      <w:r>
        <w:rPr>
          <w:rStyle w:val="VerbatimChar"/>
        </w:rPr>
        <w:t xml:space="preserve">data_wbes/p7/p7_pooled_clean.csv</w:t>
      </w:r>
      <w:r>
        <w:t xml:space="preserve">; N năng suất hợp lệ ≈ 78.810) bằng mã nguồn</w:t>
      </w:r>
      <w:r>
        <w:t xml:space="preserve"> </w:t>
      </w:r>
      <w:r>
        <w:rPr>
          <w:rStyle w:val="VerbatimChar"/>
        </w:rPr>
        <w:t xml:space="preserve">scripts/revision_evidence.py</w:t>
      </w:r>
      <w:r>
        <w:t xml:space="preserve">, nhằm trả lời ba quan ngại nhận diện thường gặp ở phản biện tạp chí quốc tế: tính đầy đủ của dạng hàm, thiên lệch phương pháp chung, và độ giá trị tách bạch của hai cấu trúc năng lực số.</w:t>
      </w:r>
    </w:p>
    <w:p>
      <w:pPr>
        <w:pStyle w:val="BodyText"/>
      </w:pPr>
      <w:r>
        <w:rPr>
          <w:bCs/>
          <w:b/>
        </w:rPr>
        <w:t xml:space="preserve">Thứ nhất, đặc tả bậc hai là đủ.</w:t>
      </w:r>
      <w:r>
        <w:t xml:space="preserve"> </w:t>
      </w:r>
      <w:r>
        <w:t xml:space="preserve">Khi thêm số hạng bậc ba của cường độ xuất khẩu vào mô hình gộp (hiệu ứng cố định nền kinh tế và năm, sai số chuẩn gom cụm theo nền), số hạng bậc ba không có ý nghĩa thống kê (</w:t>
      </w:r>
      <m:oMath>
        <m:sSub>
          <m:e>
            <m:acc>
              <m:accPr>
                <m:chr m:val="̂"/>
              </m:accPr>
              <m:e>
                <m:r>
                  <m:t>β</m:t>
                </m:r>
              </m:e>
            </m:acc>
          </m:e>
          <m:sub>
            <m:r>
              <m:t>3</m:t>
            </m:r>
          </m:sub>
        </m:sSub>
        <m:r>
          <m:rPr>
            <m:sty m:val="p"/>
          </m:rPr>
          <m:t>=</m:t>
        </m:r>
        <m:r>
          <m:rPr>
            <m:sty m:val="p"/>
          </m:rPr>
          <m:t>+</m:t>
        </m:r>
        <m:r>
          <m:t>1</m:t>
        </m:r>
        <m:r>
          <m:rPr>
            <m:sty m:val="p"/>
          </m:rPr>
          <m:t>,</m:t>
        </m:r>
        <m:r>
          <m:t>01</m:t>
        </m:r>
      </m:oMath>
      <w:r>
        <w:t xml:space="preserve">,</w:t>
      </w:r>
      <w:r>
        <w:t xml:space="preserve"> </w:t>
      </w:r>
      <m:oMath>
        <m:r>
          <m:t>p</m:t>
        </m:r>
        <m:r>
          <m:rPr>
            <m:sty m:val="p"/>
          </m:rPr>
          <m:t>=</m:t>
        </m:r>
        <m:r>
          <m:rPr>
            <m:sty m:val="p"/>
          </m:rPr>
          <m:t>,</m:t>
        </m:r>
        <m:r>
          <m:t>53</m:t>
        </m:r>
      </m:oMath>
      <w:r>
        <w:t xml:space="preserve">) và tiêu chí thông tin Bayes phạt mô hình bậc ba (</w:t>
      </w:r>
      <m:oMath>
        <m:r>
          <m:t>Δ</m:t>
        </m:r>
        <m:r>
          <m:rPr>
            <m:sty m:val="p"/>
          </m:rPr>
          <m:t>B</m:t>
        </m:r>
        <m:r>
          <m:rPr>
            <m:sty m:val="p"/>
          </m:rPr>
          <m:t>I</m:t>
        </m:r>
        <m:r>
          <m:rPr>
            <m:sty m:val="p"/>
          </m:rPr>
          <m:t>C</m:t>
        </m:r>
        <m:r>
          <m:rPr>
            <m:sty m:val="p"/>
          </m:rPr>
          <m:t>=</m:t>
        </m:r>
        <m:r>
          <m:rPr>
            <m:sty m:val="p"/>
          </m:rPr>
          <m:t>+</m:t>
        </m:r>
        <m:r>
          <m:t>8</m:t>
        </m:r>
        <m:r>
          <m:rPr>
            <m:sty m:val="p"/>
          </m:rPr>
          <m:t>,</m:t>
        </m:r>
        <m:r>
          <m:t>4</m:t>
        </m:r>
      </m:oMath>
      <w:r>
        <w:t xml:space="preserve"> </w:t>
      </w:r>
      <w:r>
        <w:t xml:space="preserve">so với mô hình bậc hai). Kết quả này bác bỏ giả thuyết rằng quan hệ quốc tế hóa và hiệu quả ở cấp gộp tuân theo đường cong chữ S bậc ba, và xác nhận lựa chọn đặc tả bậc hai để định vị điểm uốn là tiết kiệm và phù hợp dữ liệu.</w:t>
      </w:r>
    </w:p>
    <w:p>
      <w:pPr>
        <w:pStyle w:val="BodyText"/>
      </w:pPr>
      <w:r>
        <w:rPr>
          <w:bCs/>
          <w:b/>
        </w:rPr>
        <w:t xml:space="preserve">Thứ hai, thiên lệch phương pháp chung không nghiêm trọng.</w:t>
      </w:r>
      <w:r>
        <w:t xml:space="preserve"> </w:t>
      </w:r>
      <w:r>
        <w:t xml:space="preserve">Vì mọi biến đều rút từ cùng một bảng khảo sát WBES, luận án thực hiện kiểm định một-nhân-tố Harman (Podsakoff et al., 2003) trên sáu biến lõi (năng suất lao động, cường độ xuất khẩu, TCI, DAI, quy mô, tuổi doanh nghiệp): nhân tố đầu tiên chỉ giải thích</w:t>
      </w:r>
      <w:r>
        <w:t xml:space="preserve"> </w:t>
      </w:r>
      <m:oMath>
        <m:r>
          <m:t>31</m:t>
        </m:r>
        <m:r>
          <m:rPr>
            <m:sty m:val="p"/>
          </m:rPr>
          <m:t>,</m:t>
        </m:r>
        <m:r>
          <m:t>6</m:t>
        </m:r>
        <m:r>
          <m:rPr>
            <m:sty m:val="p"/>
          </m:rPr>
          <m:t>%</m:t>
        </m:r>
      </m:oMath>
      <w:r>
        <w:t xml:space="preserve"> </w:t>
      </w:r>
      <w:r>
        <w:t xml:space="preserve">tổng phương sai, thấp hơn ngưỡng cảnh báo</w:t>
      </w:r>
      <w:r>
        <w:t xml:space="preserve"> </w:t>
      </w:r>
      <m:oMath>
        <m:r>
          <m:t>50</m:t>
        </m:r>
        <m:r>
          <m:rPr>
            <m:sty m:val="p"/>
          </m:rPr>
          <m:t>%</m:t>
        </m:r>
      </m:oMath>
      <w:r>
        <w:t xml:space="preserve"> </w:t>
      </w:r>
      <w:r>
        <w:t xml:space="preserve">thường dùng, cho thấy phương sai phương pháp chung không phải là nguồn giải thích thay thế đáng kể cho các mối liên hệ quan sát được.</w:t>
      </w:r>
    </w:p>
    <w:p>
      <w:pPr>
        <w:pStyle w:val="BodyText"/>
      </w:pPr>
      <w:r>
        <w:rPr>
          <w:bCs/>
          <w:b/>
        </w:rPr>
        <w:t xml:space="preserve">Thứ ba, TCI và DAI là hai chỉ số hợp thành (formative) tách biệt về thực nghiệm với mạng nomological khác biệt.</w:t>
      </w:r>
      <w:r>
        <w:t xml:space="preserve"> </w:t>
      </w:r>
      <w:r>
        <w:t xml:space="preserve">Một điểm phương pháp luận cần làm rõ là TCI và DAI được vận hành hóa như</w:t>
      </w:r>
      <w:r>
        <w:t xml:space="preserve"> </w:t>
      </w:r>
      <w:r>
        <w:rPr>
          <w:bCs/>
          <w:b/>
        </w:rPr>
        <w:t xml:space="preserve">chỉ số hợp thành (formative composite index)</w:t>
      </w:r>
      <w:r>
        <w:t xml:space="preserve"> </w:t>
      </w:r>
      <w:r>
        <w:t xml:space="preserve">chứ không phải cấu trúc phản ánh (reflective): các chỉ báo cấu thành (chứng nhận chất lượng, công nghệ nước ngoài, website, thanh toán điện tử) là</w:t>
      </w:r>
      <w:r>
        <w:t xml:space="preserve"> </w:t>
      </w:r>
      <w:r>
        <w:rPr>
          <w:bCs/>
          <w:b/>
        </w:rPr>
        <w:t xml:space="preserve">nguyên nhân cấu thành</w:t>
      </w:r>
      <w:r>
        <w:t xml:space="preserve"> </w:t>
      </w:r>
      <w:r>
        <w:t xml:space="preserve">năng lực chứ không phải biểu hiện của một biến tiềm ẩn chung; bỏ một chỉ báo làm thay đổi nội hàm cấu trúc, và theo bốn tiêu chí của Coltman et al. (2008), các chỉ báo formative</w:t>
      </w:r>
      <w:r>
        <w:t xml:space="preserve"> </w:t>
      </w:r>
      <w:r>
        <w:rPr>
          <w:bCs/>
          <w:b/>
        </w:rPr>
        <w:t xml:space="preserve">không bắt buộc phải đồng biến</w:t>
      </w:r>
      <w:r>
        <w:t xml:space="preserve">. Do đó tương quan nội bộ thấp giữa các chỉ báo trong cùng một chỉ số (chứng nhận với công nghệ nước ngoài</w:t>
      </w:r>
      <w:r>
        <w:t xml:space="preserve"> </w:t>
      </w:r>
      <m:oMath>
        <m:r>
          <m:t>r</m:t>
        </m:r>
        <m:r>
          <m:rPr>
            <m:sty m:val="p"/>
          </m:rPr>
          <m:t>=</m:t>
        </m:r>
        <m:r>
          <m:t>0</m:t>
        </m:r>
        <m:r>
          <m:rPr>
            <m:sty m:val="p"/>
          </m:rPr>
          <m:t>,</m:t>
        </m:r>
        <m:r>
          <m:t>12</m:t>
        </m:r>
      </m:oMath>
      <w:r>
        <w:t xml:space="preserve">; website với thanh toán điện tử</w:t>
      </w:r>
      <w:r>
        <w:t xml:space="preserve"> </w:t>
      </w:r>
      <m:oMath>
        <m:r>
          <m:t>r</m:t>
        </m:r>
        <m:r>
          <m:rPr>
            <m:sty m:val="p"/>
          </m:rPr>
          <m:t>=</m:t>
        </m:r>
        <m:r>
          <m:t>0</m:t>
        </m:r>
        <m:r>
          <m:rPr>
            <m:sty m:val="p"/>
          </m:rPr>
          <m:t>,</m:t>
        </m:r>
        <m:r>
          <m:t>03</m:t>
        </m:r>
      </m:oMath>
      <w:r>
        <w:t xml:space="preserve">) là</w:t>
      </w:r>
      <w:r>
        <w:t xml:space="preserve"> </w:t>
      </w:r>
      <w:r>
        <w:rPr>
          <w:bCs/>
          <w:b/>
        </w:rPr>
        <w:t xml:space="preserve">đúng kỳ vọng của đo lường hợp thành</w:t>
      </w:r>
      <w:r>
        <w:t xml:space="preserve">, không phải dấu hiệu thiếu hiệu lực, và các công cụ chẩn đoán dành cho đo lường phản ánh (phân tích nhân tố khám phá, nhất quán nội bộ) không phải kiểm định thích hợp cho loại đo lường này. Kiểm định thích hợp là ở</w:t>
      </w:r>
      <w:r>
        <w:t xml:space="preserve"> </w:t>
      </w:r>
      <w:r>
        <w:rPr>
          <w:bCs/>
          <w:b/>
        </w:rPr>
        <w:t xml:space="preserve">cấp chỉ số hợp thành</w:t>
      </w:r>
      <w:r>
        <w:t xml:space="preserve">, và nó xác nhận hai chỉ số tách biệt rõ về thực nghiệm: trên toàn khung phân tích canonical (khớp mẫu hồi quy bên dưới), tương quan giữa hai chỉ số chuẩn hóa chỉ là</w:t>
      </w:r>
      <w:r>
        <w:t xml:space="preserve"> </w:t>
      </w:r>
      <m:oMath>
        <m:r>
          <m:t>0</m:t>
        </m:r>
        <m:r>
          <m:rPr>
            <m:sty m:val="p"/>
          </m:rPr>
          <m:t>,</m:t>
        </m:r>
        <m:r>
          <m:t>28</m:t>
        </m:r>
      </m:oMath>
      <w:r>
        <w:t xml:space="preserve">, tức chia sẻ</w:t>
      </w:r>
      <w:r>
        <w:t xml:space="preserve"> </w:t>
      </w:r>
      <m:oMath>
        <m:r>
          <m:t>8</m:t>
        </m:r>
        <m:r>
          <m:rPr>
            <m:sty m:val="p"/>
          </m:rPr>
          <m:t>,</m:t>
        </m:r>
        <m:r>
          <m:t>0</m:t>
        </m:r>
        <m:r>
          <m:rPr>
            <m:sty m:val="p"/>
          </m:rPr>
          <m:t>%</m:t>
        </m:r>
      </m:oMath>
      <w:r>
        <w:t xml:space="preserve"> </w:t>
      </w:r>
      <w:r>
        <w:t xml:space="preserve">phương sai (trên tập con có đủ cả hai chỉ số phiên bản Tầng-2 đầy đủ,</w:t>
      </w:r>
      <w:r>
        <w:t xml:space="preserve"> </w:t>
      </w:r>
      <m:oMath>
        <m:r>
          <m:t>N</m:t>
        </m:r>
        <m:r>
          <m:rPr>
            <m:sty m:val="p"/>
          </m:rPr>
          <m:t>=</m:t>
        </m:r>
        <m:r>
          <m:t>8.574</m:t>
        </m:r>
      </m:oMath>
      <w:r>
        <w:t xml:space="preserve">, tương quan</w:t>
      </w:r>
      <w:r>
        <w:t xml:space="preserve"> </w:t>
      </w:r>
      <m:oMath>
        <m:r>
          <m:t>0</m:t>
        </m:r>
        <m:r>
          <m:rPr>
            <m:sty m:val="p"/>
          </m:rPr>
          <m:t>,</m:t>
        </m:r>
        <m:r>
          <m:t>34</m:t>
        </m:r>
      </m:oMath>
      <w:r>
        <w:t xml:space="preserve">); và khi đưa đồng thời vào cùng một mô hình, mỗi chỉ số giữ một hiệu ứng riêng phần độc lập và có ý nghĩa cao (TCI</w:t>
      </w:r>
      <w:r>
        <w:t xml:space="preserve"> </w:t>
      </w:r>
      <m:oMath>
        <m:r>
          <m:rPr>
            <m:sty m:val="p"/>
          </m:rPr>
          <m:t>+</m:t>
        </m:r>
        <m:r>
          <m:t>0</m:t>
        </m:r>
        <m:r>
          <m:rPr>
            <m:sty m:val="p"/>
          </m:rPr>
          <m:t>,</m:t>
        </m:r>
        <m:r>
          <m:t>18</m:t>
        </m:r>
      </m:oMath>
      <w:r>
        <w:t xml:space="preserve">, DAI</w:t>
      </w:r>
      <w:r>
        <w:t xml:space="preserve"> </w:t>
      </w:r>
      <m:oMath>
        <m:r>
          <m:rPr>
            <m:sty m:val="p"/>
          </m:rPr>
          <m:t>+</m:t>
        </m:r>
        <m:r>
          <m:t>0</m:t>
        </m:r>
        <m:r>
          <m:rPr>
            <m:sty m:val="p"/>
          </m:rPr>
          <m:t>,</m:t>
        </m:r>
        <m:r>
          <m:t>131</m:t>
        </m:r>
      </m:oMath>
      <w:r>
        <w:t xml:space="preserve">, cả hai</w:t>
      </w:r>
      <w:r>
        <w:t xml:space="preserve"> </w:t>
      </w:r>
      <m:oMath>
        <m:r>
          <m:t>p</m:t>
        </m:r>
        <m:r>
          <m:rPr>
            <m:sty m:val="p"/>
          </m:rPr>
          <m:t>&lt;</m:t>
        </m:r>
        <m:r>
          <m:rPr>
            <m:sty m:val="p"/>
          </m:rPr>
          <m:t>,</m:t>
        </m:r>
        <m:r>
          <m:t>001</m:t>
        </m:r>
      </m:oMath>
      <w:r>
        <w:t xml:space="preserve">), cho thấy chúng không trùng lặp mà nắm bắt hai chiều năng lực khác nhau. Bằng chứng này củng cố tính mới về sự phân biệt TCI–DAI: hai chỉ số là</w:t>
      </w:r>
      <w:r>
        <w:t xml:space="preserve"> </w:t>
      </w:r>
      <w:r>
        <w:rPr>
          <w:bCs/>
          <w:b/>
        </w:rPr>
        <w:t xml:space="preserve">hai cấu trúc hợp thành tách biệt có mạng nomological khác nhau</w:t>
      </w:r>
      <w:r>
        <w:t xml:space="preserve">, nhất quán với vai trò điều tiết khác nhau của chúng (cả hai là bộ nâng mặt bằng; vai trò uốn đường cong phụ thuộc chế độ thể chế, Mục 4.6.3). Chi tiết số liệu của các kiểm định này được lưu ở</w:t>
      </w:r>
      <w:r>
        <w:t xml:space="preserve"> </w:t>
      </w:r>
      <w:r>
        <w:rPr>
          <w:rStyle w:val="VerbatimChar"/>
        </w:rPr>
        <w:t xml:space="preserve">reviews/REVISION_EVIDENCE_2026-06-23.md</w:t>
      </w:r>
      <w:r>
        <w:t xml:space="preserve">. Một hệ quả của bản chất hợp thành này là luận án không áp dụng các hiệu chỉnh tạo tác đo lường kiểu Schmidt và Hunter, cụ thể là hiệu chỉnh sai số đo lường và hiệu chỉnh giới hạn phạm vi, cho TCI và DAI, bởi những hiệu chỉnh đó được thiết kế cho cấu trúc phản ánh có biến tiềm ẩn chung chứ không phù hợp với chỉ số hợp thành; lưu ý rằng giới hạn này chỉ liên quan đến hai biến điều tiết, trong khi biến phụ thuộc (năng suất lao động) và biến độc lập (cường độ xuất khẩu) là đại lượng quan sát trực tiếp nên cũng không thuộc diện hiệu chỉnh tạo tác.</w:t>
      </w:r>
    </w:p>
    <w:bookmarkEnd w:id="145"/>
    <w:bookmarkEnd w:id="146"/>
    <w:bookmarkStart w:id="147"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hoạt động kinh doanh của doanh nghiệp đa chiều trong bối cảnh WBES</w:t>
            </w:r>
          </w:p>
        </w:tc>
      </w:tr>
      <w:tr>
        <w:tc>
          <w:tcPr/>
          <w:p>
            <w:pPr>
              <w:pStyle w:val="Compact"/>
              <w:jc w:val="left"/>
            </w:pPr>
            <w:r>
              <w:t xml:space="preserve">FSTS +</w:t>
            </w:r>
            <w:r>
              <w:t xml:space="preserve"> </w:t>
            </w:r>
            <m:oMath>
              <m:sSup>
                <m:e>
                  <m:r>
                    <m:rPr>
                      <m:nor/>
                      <m:sty m:val="p"/>
                    </m:rPr>
                    <m:t>FSTS</m:t>
                  </m:r>
                </m:e>
                <m:sup>
                  <m:r>
                    <m:t>2</m:t>
                  </m:r>
                </m:sup>
              </m:sSup>
            </m:oMath>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Điều tiết ba chiều</w:t>
            </w:r>
          </w:p>
        </w:tc>
        <w:tc>
          <w:tcPr/>
          <w:p>
            <w:pPr>
              <w:pStyle w:val="Compact"/>
              <w:jc w:val="left"/>
            </w:pPr>
            <w:r>
              <w:t xml:space="preserve">Aiken &amp; West (1991); Dawson (2014)</w:t>
            </w:r>
          </w:p>
        </w:tc>
        <w:tc>
          <w:tcPr/>
          <w:p>
            <w:pPr>
              <w:pStyle w:val="Compact"/>
              <w:jc w:val="left"/>
            </w:pPr>
            <w:r>
              <w:t xml:space="preserve">số × thể chế × nhà quản trị, mới cho châu Á và Thái Bình Dương</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kiểm định ổn định Trung Quốc 2012–2024 (điểm uốn ~47,8%</w:t>
            </w:r>
            <w:r>
              <w:t xml:space="preserve"> </w:t>
            </w:r>
            <m:oMath>
              <m:r>
                <m:rPr>
                  <m:sty m:val="p"/>
                </m:rPr>
                <m:t>F</m:t>
              </m:r>
              <m:r>
                <m:rPr>
                  <m:sty m:val="p"/>
                </m:rPr>
                <m:t>S</m:t>
              </m:r>
              <m:r>
                <m:rPr>
                  <m:sty m:val="p"/>
                </m:rPr>
                <m:t>T</m:t>
              </m:r>
              <m:r>
                <m:rPr>
                  <m:sty m:val="p"/>
                </m:rPr>
                <m:t>S</m:t>
              </m:r>
            </m:oMath>
            <w:r>
              <w:t xml:space="preserve">)</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147"/>
    <w:bookmarkStart w:id="148"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p>
      <w:r>
        <w:br w:type="page"/>
      </w:r>
    </w:p>
    <w:bookmarkEnd w:id="148"/>
    <w:bookmarkStart w:id="149" w:name="chương-4-kết-quả-nghiên-cứu"/>
    <w:p>
      <w:pPr>
        <w:pStyle w:val="Heading1"/>
      </w:pPr>
      <w:r>
        <w:t xml:space="preserve">CHƯƠNG 4: KẾT QUẢ NGHIÊN CỨU</w:t>
      </w:r>
    </w:p>
    <w:bookmarkEnd w:id="149"/>
    <w:p>
      <w:r>
        <w:pict>
          <v:rect style="width:0;height:1.5pt" o:hralign="center" o:hrstd="t" o:hr="t"/>
        </w:pict>
      </w:r>
    </w:p>
    <w:bookmarkStart w:id="150"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pPr>
        <w:pStyle w:val="BodyText"/>
      </w:pPr>
      <w:r>
        <w:t xml:space="preserve">Trật tự trình bày này không ngẫu nhiên mà được tổ chức để kiểm chứng luận điểm trọng tâm của luận án theo một lát cắt dọc trên phổ thể chế: rằng thể chế quy định không chỉ độ lớn mà cả dấu và dạng hình của quan hệ quốc tế hóa và hiệu quả. Đi từ Nhóm I (Singapore gần tuyến tính dương) qua Nhóm III (Trung Quốc, điểm uốn ổn định) đến Nhóm IV (Việt Nam, chữ U ngược rõ nét), rồi đối chiếu với toàn mẫu 50 nền (P7) và cực trị Nhóm VI (SIDS), chương này lần lượt phơi bày cách dạng hàm dịch chuyển theo vị trí thể chế và cách toàn bộ họ mô hình chữ U ngược mất cấu trúc tại cực trị, tức điều kiện biên FIP.</w:t>
      </w:r>
    </w:p>
    <w:p>
      <w:pPr>
        <w:pStyle w:val="BlockText"/>
      </w:pPr>
      <w:r>
        <w:rPr>
          <w:bCs/>
          <w:b/>
        </w:rPr>
        <w:t xml:space="preserve">Ghi chú nhận diện (đọc trước toàn chương).</w:t>
      </w:r>
      <w:r>
        <w:t xml:space="preserve"> </w:t>
      </w:r>
      <w:r>
        <w:t xml:space="preserve">Dữ liệu thực nghiệm là lát cắt ngang lặp lại, không phải bảng theo dõi cùng doanh nghiệp qua thời gian. Do đó, trừ nơi nêu rõ chiến lược biến công cụ (P3, P5), các hệ số trong chương này nên được đọc là</w:t>
      </w:r>
      <w:r>
        <w:t xml:space="preserve"> </w:t>
      </w:r>
      <w:r>
        <w:rPr>
          <w:bCs/>
          <w:b/>
        </w:rPr>
        <w:t xml:space="preserve">quan hệ liên hệ (associational) vững về mặt thống kê</w:t>
      </w:r>
      <w:r>
        <w:t xml:space="preserve"> </w:t>
      </w:r>
      <w:r>
        <w:t xml:space="preserve">sau khi hấp thụ hiệu ứng cố định nền kinh tế và năm,</w:t>
      </w:r>
      <w:r>
        <w:t xml:space="preserve"> </w:t>
      </w:r>
      <w:r>
        <w:rPr>
          <w:bCs/>
          <w:b/>
        </w:rPr>
        <w:t xml:space="preserve">chứ chưa phải hiệu ứng nhân quả</w:t>
      </w:r>
      <w:r>
        <w:t xml:space="preserve"> </w:t>
      </w:r>
      <w:r>
        <w:t xml:space="preserve">được nhận diện trực tiếp; ranh giới suy luận này được trình bày đầy đủ ở Mục 3.5.6 và đối chiếu với ba phản bác chính (nhân quả ngược, chọn lọc xuất khẩu, tạo tác đo lường) ở Mục 4.11. Các kết quả từ mẫu nhỏ hoặc thiếu công suất (đặc biệt P8 SIDS) được trình bày như</w:t>
      </w:r>
      <w:r>
        <w:t xml:space="preserve"> </w:t>
      </w:r>
      <w:r>
        <w:rPr>
          <w:bCs/>
          <w:b/>
        </w:rPr>
        <w:t xml:space="preserve">bằng chứng thăm dò cho điều kiện biên lý thuyết</w:t>
      </w:r>
      <w:r>
        <w:t xml:space="preserve">, không phải hiệu ứng khẳng định.</w:t>
      </w:r>
    </w:p>
    <w:p>
      <w:r>
        <w:pict>
          <v:rect style="width:0;height:1.5pt" o:hralign="center" o:hrstd="t" o:hr="t"/>
        </w:pict>
      </w:r>
    </w:p>
    <w:bookmarkEnd w:id="150"/>
    <w:bookmarkStart w:id="180" w:name="Xed285cd0261846a13dee28de69c0403b250498d"/>
    <w:p>
      <w:pPr>
        <w:pStyle w:val="Heading2"/>
      </w:pPr>
      <w:r>
        <w:t xml:space="preserve">4.1 Thực trạng quốc tế hóa và hiệu quả hoạt động kinh doanh tại châu Á</w:t>
      </w:r>
    </w:p>
    <w:bookmarkStart w:id="157" w:name="Xe27c4fc798ba9badf07654f8bef42e3eb112ba1"/>
    <w:p>
      <w:pPr>
        <w:pStyle w:val="Heading3"/>
      </w:pPr>
      <w:r>
        <w:t xml:space="preserve">4.1.1 Toàn cảnh tổng thể về hiệu quả hoạt động kinh doanh của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4.1–4.2 dưới đây được</w:t>
      </w:r>
      <w:r>
        <w:t xml:space="preserve"> </w:t>
      </w:r>
      <w:r>
        <w:rPr>
          <w:bCs/>
          <w:b/>
        </w:rPr>
        <w:t xml:space="preserve">tái lập trực tiếp từ dữ liệu thô</w:t>
      </w:r>
      <w:r>
        <w:t xml:space="preserve"> </w:t>
      </w:r>
      <w:r>
        <w:t xml:space="preserve">trên khung mô tả 50 nền có năng suất hợp lệ (84.998 doanh nghiệp; 107 cặp nền–năm), bằng cùng quy trình hài hòa hóa với pipeline kinh tế lượng P7 (</w:t>
      </w:r>
      <w:r>
        <w:rPr>
          <w:rStyle w:val="VerbatimChar"/>
        </w:rPr>
        <w:t xml:space="preserve">scripts/relock_descriptives_canonical.py</w:t>
      </w:r>
      <w:r>
        <w:t xml:space="preserve">); pool phân loại ICRV rộng hơn là 96.415 doanh nghiệp / 52 nhãn nền, khung phân tích đa quốc gia là 88.869 / 50 nền gồm Nhật Bản, và mẫu hồi quy chính P7 M2 là N = 81.022. Chênh lệch giữa các con số này là hệ quả trực tiếp của xóa-theo-danh-sách (listwise deletion) trên tập biến lõi (xem Phụ lục A.9): pool phân loại rộng nhất giữ cả doanh nghiệp thiếu biến năng suất hoặc thể chế, còn mẫu hồi quy chỉ giữ doanh nghiệp có đủ mọi biến mô hình; kiểm định ổn định điểm uốn (Mục 4.6.8) xác nhận các kết luận không bị chi phối bởi cơ chế khuyết.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0,96 (Nhóm I, Advanced đổi mới) lên 1,24–1,37 (Nhóm III–V), và tỷ số P90/P10 leo từ khoảng 11 lần (Nhóm I) lên khoảng 27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(khung mô tả tái lập 50 nền có năng suất hợp lệ, 84.998 doanh nghiệp, WBES 2006–2026; pool phân loại ICRV rộng hơn 96.415/52 nhãn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(LP-valid)</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 JPN)</w:t>
            </w:r>
          </w:p>
        </w:tc>
        <w:tc>
          <w:tcPr/>
          <w:p>
            <w:pPr>
              <w:pStyle w:val="Compact"/>
              <w:jc w:val="left"/>
            </w:pPr>
            <w:r>
              <w:t xml:space="preserve">5.688</w:t>
            </w:r>
          </w:p>
        </w:tc>
        <w:tc>
          <w:tcPr/>
          <w:p>
            <w:pPr>
              <w:pStyle w:val="Compact"/>
              <w:jc w:val="left"/>
            </w:pPr>
            <w:r>
              <w:t xml:space="preserve">0,96</w:t>
            </w:r>
          </w:p>
        </w:tc>
        <w:tc>
          <w:tcPr/>
          <w:p>
            <w:pPr>
              <w:pStyle w:val="Compact"/>
              <w:jc w:val="left"/>
            </w:pPr>
            <w:r>
              <w:t xml:space="preserve">10,3</w:t>
            </w:r>
          </w:p>
        </w:tc>
        <w:tc>
          <w:tcPr/>
          <w:p>
            <w:pPr>
              <w:pStyle w:val="Compact"/>
              <w:jc w:val="left"/>
            </w:pPr>
            <w:r>
              <w:t xml:space="preserve">24,3</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2.082</w:t>
            </w:r>
          </w:p>
        </w:tc>
        <w:tc>
          <w:tcPr/>
          <w:p>
            <w:pPr>
              <w:pStyle w:val="Compact"/>
              <w:jc w:val="left"/>
            </w:pPr>
            <w:r>
              <w:rPr>
                <w:bCs/>
                <w:b/>
              </w:rPr>
              <w:t xml:space="preserve">0,79</w:t>
            </w:r>
            <w:r>
              <w:t xml:space="preserve">²</w:t>
            </w:r>
          </w:p>
        </w:tc>
        <w:tc>
          <w:tcPr/>
          <w:p>
            <w:pPr>
              <w:pStyle w:val="Compact"/>
              <w:jc w:val="left"/>
            </w:pPr>
            <w:r>
              <w:t xml:space="preserve">3,9</w:t>
            </w:r>
          </w:p>
        </w:tc>
        <w:tc>
          <w:tcPr/>
          <w:p>
            <w:pPr>
              <w:pStyle w:val="Compact"/>
              <w:jc w:val="left"/>
            </w:pPr>
            <w:r>
              <w:t xml:space="preserve">11,6</w:t>
            </w:r>
          </w:p>
        </w:tc>
        <w:tc>
          <w:tcPr/>
          <w:p>
            <w:pPr>
              <w:pStyle w:val="Compact"/>
              <w:jc w:val="left"/>
            </w:pPr>
            <w:r>
              <w:t xml:space="preserve">13,6</w:t>
            </w:r>
          </w:p>
        </w:tc>
      </w:tr>
      <w:tr>
        <w:tc>
          <w:tcPr/>
          <w:p>
            <w:pPr>
              <w:pStyle w:val="Compact"/>
              <w:jc w:val="left"/>
            </w:pPr>
            <w:r>
              <w:t xml:space="preserve">Nhóm III: trung bình cao (CHN, MYS, THA, KAZ…)</w:t>
            </w:r>
          </w:p>
        </w:tc>
        <w:tc>
          <w:tcPr/>
          <w:p>
            <w:pPr>
              <w:pStyle w:val="Compact"/>
              <w:jc w:val="left"/>
            </w:pPr>
            <w:r>
              <w:t xml:space="preserve">15.174</w:t>
            </w:r>
          </w:p>
        </w:tc>
        <w:tc>
          <w:tcPr/>
          <w:p>
            <w:pPr>
              <w:pStyle w:val="Compact"/>
              <w:jc w:val="left"/>
            </w:pPr>
            <w:r>
              <w:t xml:space="preserve">1,30</w:t>
            </w:r>
          </w:p>
        </w:tc>
        <w:tc>
          <w:tcPr/>
          <w:p>
            <w:pPr>
              <w:pStyle w:val="Compact"/>
              <w:jc w:val="left"/>
            </w:pPr>
            <w:r>
              <w:t xml:space="preserve">10,3</w:t>
            </w:r>
          </w:p>
        </w:tc>
        <w:tc>
          <w:tcPr/>
          <w:p>
            <w:pPr>
              <w:pStyle w:val="Compact"/>
              <w:jc w:val="left"/>
            </w:pPr>
            <w:r>
              <w:t xml:space="preserve">21,6</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42.798</w:t>
            </w:r>
          </w:p>
        </w:tc>
        <w:tc>
          <w:tcPr/>
          <w:p>
            <w:pPr>
              <w:pStyle w:val="Compact"/>
              <w:jc w:val="left"/>
            </w:pPr>
            <w:r>
              <w:t xml:space="preserve">1,24</w:t>
            </w:r>
          </w:p>
        </w:tc>
        <w:tc>
          <w:tcPr/>
          <w:p>
            <w:pPr>
              <w:pStyle w:val="Compact"/>
              <w:jc w:val="left"/>
            </w:pPr>
            <w:r>
              <w:t xml:space="preserve">8,1</w:t>
            </w:r>
          </w:p>
        </w:tc>
        <w:tc>
          <w:tcPr/>
          <w:p>
            <w:pPr>
              <w:pStyle w:val="Compact"/>
              <w:jc w:val="left"/>
            </w:pPr>
            <w:r>
              <w:t xml:space="preserve">14,1</w:t>
            </w:r>
          </w:p>
        </w:tc>
        <w:tc>
          <w:tcPr/>
          <w:p>
            <w:pPr>
              <w:pStyle w:val="Compact"/>
              <w:jc w:val="left"/>
            </w:pPr>
            <w:r>
              <w:t xml:space="preserve">3,1</w:t>
            </w:r>
          </w:p>
        </w:tc>
      </w:tr>
      <w:tr>
        <w:tc>
          <w:tcPr/>
          <w:p>
            <w:pPr>
              <w:pStyle w:val="Compact"/>
              <w:jc w:val="left"/>
            </w:pPr>
            <w:r>
              <w:t xml:space="preserve">Nhóm V: đang nổi (LAO, KHM, NPL, LKA, JOR, AZE…)</w:t>
            </w:r>
          </w:p>
        </w:tc>
        <w:tc>
          <w:tcPr/>
          <w:p>
            <w:pPr>
              <w:pStyle w:val="Compact"/>
              <w:jc w:val="left"/>
            </w:pPr>
            <w:r>
              <w:t xml:space="preserve">17.340</w:t>
            </w:r>
          </w:p>
        </w:tc>
        <w:tc>
          <w:tcPr/>
          <w:p>
            <w:pPr>
              <w:pStyle w:val="Compact"/>
              <w:jc w:val="left"/>
            </w:pPr>
            <w:r>
              <w:t xml:space="preserve">1,37</w:t>
            </w:r>
          </w:p>
        </w:tc>
        <w:tc>
          <w:tcPr/>
          <w:p>
            <w:pPr>
              <w:pStyle w:val="Compact"/>
              <w:jc w:val="left"/>
            </w:pPr>
            <w:r>
              <w:t xml:space="preserve">10,2</w:t>
            </w:r>
          </w:p>
        </w:tc>
        <w:tc>
          <w:tcPr/>
          <w:p>
            <w:pPr>
              <w:pStyle w:val="Compact"/>
              <w:jc w:val="left"/>
            </w:pPr>
            <w:r>
              <w:t xml:space="preserve">18,1</w:t>
            </w:r>
          </w:p>
        </w:tc>
        <w:tc>
          <w:tcPr/>
          <w:p>
            <w:pPr>
              <w:pStyle w:val="Compact"/>
              <w:jc w:val="left"/>
            </w:pPr>
            <w:r>
              <w:t xml:space="preserve">7,0</w:t>
            </w:r>
          </w:p>
        </w:tc>
      </w:tr>
      <w:tr>
        <w:tc>
          <w:tcPr/>
          <w:p>
            <w:pPr>
              <w:pStyle w:val="Compact"/>
              <w:jc w:val="left"/>
            </w:pPr>
            <w:r>
              <w:t xml:space="preserve">Nhóm VI: SIDS (FJI, PNG, SLB…)</w:t>
            </w:r>
          </w:p>
        </w:tc>
        <w:tc>
          <w:tcPr/>
          <w:p>
            <w:pPr>
              <w:pStyle w:val="Compact"/>
              <w:jc w:val="left"/>
            </w:pPr>
            <w:r>
              <w:t xml:space="preserve">1.916</w:t>
            </w:r>
          </w:p>
        </w:tc>
        <w:tc>
          <w:tcPr/>
          <w:p>
            <w:pPr>
              <w:pStyle w:val="Compact"/>
              <w:jc w:val="left"/>
            </w:pPr>
            <w:r>
              <w:rPr>
                <w:bCs/>
                <w:b/>
              </w:rPr>
              <w:t xml:space="preserve">1,40</w:t>
            </w:r>
          </w:p>
        </w:tc>
        <w:tc>
          <w:tcPr/>
          <w:p>
            <w:pPr>
              <w:pStyle w:val="Compact"/>
              <w:jc w:val="left"/>
            </w:pPr>
            <w:r>
              <w:t xml:space="preserve">6,7</w:t>
            </w:r>
          </w:p>
        </w:tc>
        <w:tc>
          <w:tcPr/>
          <w:p>
            <w:pPr>
              <w:pStyle w:val="Compact"/>
              <w:jc w:val="left"/>
            </w:pPr>
            <w:r>
              <w:t xml:space="preserve">14,4</w:t>
            </w:r>
          </w:p>
        </w:tc>
        <w:tc>
          <w:tcPr/>
          <w:p>
            <w:pPr>
              <w:pStyle w:val="Compact"/>
              <w:jc w:val="left"/>
            </w:pPr>
            <w:r>
              <w:t xml:space="preserve">20,0</w:t>
            </w:r>
          </w:p>
        </w:tc>
      </w:tr>
      <w:tr>
        <w:tc>
          <w:tcPr/>
          <w:p>
            <w:pPr>
              <w:pStyle w:val="Compact"/>
              <w:jc w:val="left"/>
            </w:pPr>
            <w:r>
              <w:rPr>
                <w:bCs/>
                <w:b/>
              </w:rPr>
              <w:t xml:space="preserve">Tổng (LP-valid, 50 nền)</w:t>
            </w:r>
          </w:p>
        </w:tc>
        <w:tc>
          <w:tcPr/>
          <w:p>
            <w:pPr>
              <w:pStyle w:val="Compact"/>
              <w:jc w:val="left"/>
            </w:pPr>
            <w:r>
              <w:rPr>
                <w:bCs/>
                <w:b/>
              </w:rPr>
              <w:t xml:space="preserve">84.998</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w:t>
      </w:r>
      <w:r>
        <w:rPr>
          <w:iCs/>
          <w:i/>
        </w:rPr>
        <w:t xml:space="preserve">trong khung mô tả tái lập gồm 50 nền / 107 cặp nền–năm (tổng 84.998), tính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với cùng quy trình hài hòa hóa như pipeline kinh tế lượng P7. Khung mô tả này là phần lõi có năng suất hợp lệ của khung phân tích đa quốc gia (50 nền gồm Nhật Bản); mẫu hồi quy chính P7 là N = 81.022 (M2) và 79.080 (M5; xem Mục 4.6.1), còn pool phân loại ICRV rộng hơn (gồm cả doanh nghiệp thiếu biến năng suất/thể chế) là 96.415 / 52 nhãn nền. Vì vậy n ở bảng này nhỏ hơn các đếm mẫu đầy đủ dùng ở Bảng 4.3. ¹ Độ lệch chuẩn ln(năng suất lao động) khử trung bình trong từng cặp nền kinh tế × năm rồi tổng hợp trên các quan sát của nhóm, bất biến với đơn vị tiền tệ (thừa số quy đổi triệt tiêu trên thang log); năng suất được winsorize 1/99 trong cụm country-year (xem Mục 3.5.3). ² Nhóm II có phân tán hẹp nhất toàn khung (nén năng suất kiểu kinh tế nhà nước tô); hai nền lớn nhất khối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24,3% doanh nghiệp xuất khẩu, trong khi nhóm tài nguyên dẫn dắt chỉ có R&amp;D 7,0% và 11,6%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hoạt động kinh doanh của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phổ thể chế ICRV (từ ~11 lần lên ~27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phổ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152" name="Picture"/>
            <a:graphic>
              <a:graphicData uri="http://schemas.openxmlformats.org/drawingml/2006/picture">
                <pic:pic>
                  <pic:nvPicPr>
                    <pic:cNvPr descr="figures/fig_4_1_pool_composition.png" id="153" name="Picture"/>
                    <pic:cNvPicPr>
                      <a:picLocks noChangeArrowheads="1" noChangeAspect="1"/>
                    </pic:cNvPicPr>
                  </pic:nvPicPr>
                  <pic:blipFill>
                    <a:blip r:embed="rId151"/>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155" name="Picture"/>
            <a:graphic>
              <a:graphicData uri="http://schemas.openxmlformats.org/drawingml/2006/picture">
                <pic:pic>
                  <pic:nvPicPr>
                    <pic:cNvPr descr="figures/fig_4_0_pool_by_year.png" id="156" name="Picture"/>
                    <pic:cNvPicPr>
                      <a:picLocks noChangeArrowheads="1" noChangeAspect="1"/>
                    </pic:cNvPicPr>
                  </pic:nvPicPr>
                  <pic:blipFill>
                    <a:blip r:embed="rId154"/>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157"/>
    <w:bookmarkStart w:id="161"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khoảng 12–24%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6,7% (SIDS) đến 10,3% (trung bình cao), với mức trung bình khu vực khoảng 9%.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159" name="Picture"/>
            <a:graphic>
              <a:graphicData uri="http://schemas.openxmlformats.org/drawingml/2006/picture">
                <pic:pic>
                  <pic:nvPicPr>
                    <pic:cNvPr descr="figures/fig_4_4_growth_pathway.png" id="160" name="Picture"/>
                    <pic:cNvPicPr>
                      <a:picLocks noChangeArrowheads="1" noChangeAspect="1"/>
                    </pic:cNvPicPr>
                  </pic:nvPicPr>
                  <pic:blipFill>
                    <a:blip r:embed="rId158"/>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161"/>
    <w:bookmarkStart w:id="165"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Bậc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 (tái lập:</w:t>
      </w:r>
      <w:r>
        <w:rPr>
          <w:iCs/>
          <w:i/>
        </w:rPr>
        <w:t xml:space="preserve"> </w:t>
      </w:r>
      <w:r>
        <w:rPr>
          <w:rStyle w:val="VerbatimChar"/>
          <w:iCs/>
          <w:i/>
        </w:rPr>
        <w:t xml:space="preserve">scripts/relock_descriptives_canonical.py</w:t>
      </w:r>
      <w:r>
        <w:rPr>
          <w:iCs/>
          <w:i/>
        </w:rPr>
        <w:t xml:space="preserve">).</w:t>
      </w:r>
    </w:p>
    <w:p>
      <w:pPr>
        <w:pStyle w:val="BodyText"/>
      </w:pPr>
      <w:r>
        <w:rPr>
          <w:iCs/>
          <w:i/>
        </w:rPr>
        <w:t xml:space="preserve">Ghi chú: Bảng 4.2 được tái lập trực tiếp từ dữ liệu thô WBES trên cùng khung mô tả canonical 50 nền (một cross-section chuẩn cho mỗi cặp nền kinh tế × năm, đợt khảo sát ≥ 2006) như Bảng 4.1,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Phổ năng lực thể chế thể hiện rõ ở các biến nền tảng: R&amp;D 21,0% (Nhóm I) xuống 10,2% (Nhóm VI); ISO 32,5% xuống 12,2%; website 69,2% xuống 41,5%.</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(40,6%)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thuộc nhóm thấp nhất, và đây là nhóm duy nhất nơi dạng chữ U ngược hoàn toàn mất cấu trúc (FIP là trường hợp giới hạn lý thuyết).</w:t>
      </w:r>
    </w:p>
    <w:p>
      <w:pPr>
        <w:pStyle w:val="BodyText"/>
      </w:pPr>
      <w:r>
        <w:t xml:space="preserve">Một biểu hiện khác của bão hòa Bậc 1 nằm ở tương quan giữa website và năng suất: phần bù tương quan của DAI Bậc 1 thấp nhất ở nhóm Advanced đổi mới (+0,093, so với +0,183–0,202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Bậc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163" name="Picture"/>
            <a:graphic>
              <a:graphicData uri="http://schemas.openxmlformats.org/drawingml/2006/picture">
                <pic:pic>
                  <pic:nvPicPr>
                    <pic:cNvPr descr="figures/fig_4_6_firm_size.png" id="164" name="Picture"/>
                    <pic:cNvPicPr>
                      <a:picLocks noChangeArrowheads="1" noChangeAspect="1"/>
                    </pic:cNvPicPr>
                  </pic:nvPicPr>
                  <pic:blipFill>
                    <a:blip r:embed="rId162"/>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165"/>
    <w:bookmarkStart w:id="166"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hoạt động kinh doanh của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166"/>
    <w:bookmarkStart w:id="167"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phổ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Bậc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167"/>
    <w:bookmarkStart w:id="177" w:name="X015dea6c653e927b7e9f3cccc9ffd4d3ce8ee25"/>
    <w:p>
      <w:pPr>
        <w:pStyle w:val="Heading3"/>
      </w:pPr>
      <w:r>
        <w:t xml:space="preserve">4.1.6 So sánh xuyên nhóm ICRV: phổ thể chế tương quan và độ phân tán hiệu quả</w:t>
      </w:r>
    </w:p>
    <w:p>
      <w:pPr>
        <w:pStyle w:val="FirstParagraph"/>
      </w:pPr>
      <w:r>
        <w:t xml:space="preserve">Khi đặt cạnh nhau toàn bộ các chỉ báo mô tả theo sáu nhóm ICRV, một cấu trúc rõ rệt nổi lên trong đó cường độ của các tương quan thô suy giảm dần (đến mức triệt tiêu ở SIDS) theo chiều suy yếu của thể chế. Hệ số tương quan Pearson giữa năng suất lao động chuẩn hóa và cường độ quốc tế hóa giảm đơn điệu theo phổ thể chế: từ</w:t>
      </w:r>
      <w:r>
        <w:t xml:space="preserve"> </w:t>
      </w:r>
      <m:oMath>
        <m:r>
          <m:rPr>
            <m:sty m:val="p"/>
          </m:rPr>
          <m:t>+</m:t>
        </m:r>
        <m:r>
          <m:t>0</m:t>
        </m:r>
        <m:r>
          <m:rPr>
            <m:sty m:val="p"/>
          </m:rPr>
          <m:t>,</m:t>
        </m:r>
        <m:r>
          <m:t>141</m:t>
        </m:r>
      </m:oMath>
      <w:r>
        <w:t xml:space="preserve"> </w:t>
      </w:r>
      <w:r>
        <w:t xml:space="preserve">ở Nhóm I, qua</w:t>
      </w:r>
      <w:r>
        <w:t xml:space="preserve"> </w:t>
      </w:r>
      <m:oMath>
        <m:r>
          <m:rPr>
            <m:sty m:val="p"/>
          </m:rPr>
          <m:t>+</m:t>
        </m:r>
        <m:r>
          <m:t>0</m:t>
        </m:r>
        <m:r>
          <m:rPr>
            <m:sty m:val="p"/>
          </m:rPr>
          <m:t>,</m:t>
        </m:r>
        <m:r>
          <m:t>122</m:t>
        </m:r>
      </m:oMath>
      <w:r>
        <w:t xml:space="preserve"> </w:t>
      </w:r>
      <w:r>
        <w:t xml:space="preserve">ở Nhóm II,</w:t>
      </w:r>
      <w:r>
        <w:t xml:space="preserve"> </w:t>
      </w:r>
      <m:oMath>
        <m:r>
          <m:rPr>
            <m:sty m:val="p"/>
          </m:rPr>
          <m:t>+</m:t>
        </m:r>
        <m:r>
          <m:t>0</m:t>
        </m:r>
        <m:r>
          <m:rPr>
            <m:sty m:val="p"/>
          </m:rPr>
          <m:t>,</m:t>
        </m:r>
        <m:r>
          <m:t>061</m:t>
        </m:r>
      </m:oMath>
      <w:r>
        <w:t xml:space="preserve"> </w:t>
      </w:r>
      <w:r>
        <w:t xml:space="preserve">ở Nhóm III,</w:t>
      </w:r>
      <w:r>
        <w:t xml:space="preserve"> </w:t>
      </w:r>
      <m:oMath>
        <m:r>
          <m:rPr>
            <m:sty m:val="p"/>
          </m:rPr>
          <m:t>+</m:t>
        </m:r>
        <m:r>
          <m:t>0</m:t>
        </m:r>
        <m:r>
          <m:rPr>
            <m:sty m:val="p"/>
          </m:rPr>
          <m:t>,</m:t>
        </m:r>
        <m:r>
          <m:t>049</m:t>
        </m:r>
      </m:oMath>
      <w:r>
        <w:t xml:space="preserve"> </w:t>
      </w:r>
      <w:r>
        <w:t xml:space="preserve">ở Nhóm IV,</w:t>
      </w:r>
      <w:r>
        <w:t xml:space="preserve"> </w:t>
      </w:r>
      <m:oMath>
        <m:r>
          <m:rPr>
            <m:sty m:val="p"/>
          </m:rPr>
          <m:t>+</m:t>
        </m:r>
        <m:r>
          <m:t>0</m:t>
        </m:r>
        <m:r>
          <m:rPr>
            <m:sty m:val="p"/>
          </m:rPr>
          <m:t>,</m:t>
        </m:r>
        <m:r>
          <m:t>015</m:t>
        </m:r>
      </m:oMath>
      <w:r>
        <w:t xml:space="preserve"> </w:t>
      </w:r>
      <w:r>
        <w:t xml:space="preserve">ở Nhóm V, rồi mất ý nghĩa thống kê ở SIDS (</w:t>
      </w:r>
      <m:oMath>
        <m:r>
          <m:rPr>
            <m:sty m:val="p"/>
          </m:rPr>
          <m:t>+</m:t>
        </m:r>
        <m:r>
          <m:t>0</m:t>
        </m:r>
        <m:r>
          <m:rPr>
            <m:sty m:val="p"/>
          </m:rPr>
          <m:t>,</m:t>
        </m:r>
        <m:r>
          <m:t>002</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nhóm duy nhất nơi tương quan này triệt tiêu hoàn toàn (gần 0, không ý nghĩa),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Phổ năng lực công nghệ theo sáu nhóm ICRV" title="" id="169" name="Picture"/>
            <a:graphic>
              <a:graphicData uri="http://schemas.openxmlformats.org/drawingml/2006/picture">
                <pic:pic>
                  <pic:nvPicPr>
                    <pic:cNvPr descr="figures/fig_icrv_capability_gradient.png" id="170" name="Picture"/>
                    <pic:cNvPicPr>
                      <a:picLocks noChangeArrowheads="1" noChangeAspect="1"/>
                    </pic:cNvPicPr>
                  </pic:nvPicPr>
                  <pic:blipFill>
                    <a:blip r:embed="rId168"/>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Phổ năng lực công nghệ theo sáu nhóm ICRV</w:t>
      </w:r>
    </w:p>
    <w:p>
      <w:pPr>
        <w:pStyle w:val="BodyText"/>
      </w:pPr>
      <w:r>
        <w:t xml:space="preserve">Ngược với phổ thể chế của quốc tế hóa, năng lực công nghệ là yếu tố tương quan mạnh và đồng đều nhất ở mọi nhóm, dao động từ</w:t>
      </w:r>
      <w:r>
        <w:t xml:space="preserve"> </w:t>
      </w:r>
      <m:oMath>
        <m:r>
          <m:rPr>
            <m:sty m:val="p"/>
          </m:rPr>
          <m:t>+</m:t>
        </m:r>
        <m:r>
          <m:t>0</m:t>
        </m:r>
        <m:r>
          <m:rPr>
            <m:sty m:val="p"/>
          </m:rPr>
          <m:t>,</m:t>
        </m:r>
        <m:r>
          <m:t>094</m:t>
        </m:r>
      </m:oMath>
      <w:r>
        <w:t xml:space="preserve"> </w:t>
      </w:r>
      <w:r>
        <w:t xml:space="preserve">ở SIDS đến</w:t>
      </w:r>
      <w:r>
        <w:t xml:space="preserve"> </w:t>
      </w:r>
      <m:oMath>
        <m:r>
          <m:rPr>
            <m:sty m:val="p"/>
          </m:rPr>
          <m:t>+</m:t>
        </m:r>
        <m:r>
          <m:t>0</m:t>
        </m:r>
        <m:r>
          <m:rPr>
            <m:sty m:val="p"/>
          </m:rPr>
          <m:t>,</m:t>
        </m:r>
        <m:r>
          <m:t>180</m:t>
        </m:r>
      </m:oMath>
      <w:r>
        <w:t xml:space="preserve"> </w:t>
      </w:r>
      <w:r>
        <w:t xml:space="preserve">ở Nhóm 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105</m:t>
        </m:r>
      </m:oMath>
      <w:r>
        <w:t xml:space="preserve"> </w:t>
      </w:r>
      <w:r>
        <w:t xml:space="preserve">và SIDS</w:t>
      </w:r>
      <w:r>
        <w:t xml:space="preserve"> </w:t>
      </w:r>
      <m:oMath>
        <m:r>
          <m:rPr>
            <m:sty m:val="p"/>
          </m:rPr>
          <m:t>+</m:t>
        </m:r>
        <m:r>
          <m:t>0</m:t>
        </m:r>
        <m:r>
          <m:rPr>
            <m:sty m:val="p"/>
          </m:rPr>
          <m:t>,</m:t>
        </m:r>
        <m:r>
          <m:t>104</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172" name="Picture"/>
            <a:graphic>
              <a:graphicData uri="http://schemas.openxmlformats.org/drawingml/2006/picture">
                <pic:pic>
                  <pic:nvPicPr>
                    <pic:cNvPr descr="figures/fig_4_2_productivity_density.png" id="173" name="Picture"/>
                    <pic:cNvPicPr>
                      <a:picLocks noChangeArrowheads="1" noChangeAspect="1"/>
                    </pic:cNvPicPr>
                  </pic:nvPicPr>
                  <pic:blipFill>
                    <a:blip r:embed="rId171"/>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phổ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2</m:t>
        </m:r>
      </m:oMath>
      <w:r>
        <w:t xml:space="preserve"> </w:t>
      </w:r>
      <w:r>
        <w:t xml:space="preserve">lần ở Nhóm I lên</w:t>
      </w:r>
      <w:r>
        <w:t xml:space="preserve"> </w:t>
      </w:r>
      <m:oMath>
        <m:r>
          <m:t>5</m:t>
        </m:r>
        <m:r>
          <m:rPr>
            <m:sty m:val="p"/>
          </m:rPr>
          <m:t>,</m:t>
        </m:r>
        <m:r>
          <m:t>5</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175" name="Picture"/>
            <a:graphic>
              <a:graphicData uri="http://schemas.openxmlformats.org/drawingml/2006/picture">
                <pic:pic>
                  <pic:nvPicPr>
                    <pic:cNvPr descr="figures/fig_4_7_spider_chart.png" id="176" name="Picture"/>
                    <pic:cNvPicPr>
                      <a:picLocks noChangeArrowheads="1" noChangeAspect="1"/>
                    </pic:cNvPicPr>
                  </pic:nvPicPr>
                  <pic:blipFill>
                    <a:blip r:embed="rId174"/>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Bậc 1) lại thấp nhất ở Nhóm I (</w:t>
      </w:r>
      <m:oMath>
        <m:r>
          <m:rPr>
            <m:sty m:val="p"/>
          </m:rPr>
          <m:t>+</m:t>
        </m:r>
        <m:r>
          <m:t>0</m:t>
        </m:r>
        <m:r>
          <m:rPr>
            <m:sty m:val="p"/>
          </m:rPr>
          <m:t>,</m:t>
        </m:r>
        <m:r>
          <m:t>093</m:t>
        </m:r>
      </m:oMath>
      <w:r>
        <w:t xml:space="preserve">), trong khi cao nhất ở Nhóm II (</w:t>
      </w:r>
      <m:oMath>
        <m:r>
          <m:rPr>
            <m:sty m:val="p"/>
          </m:rPr>
          <m:t>+</m:t>
        </m:r>
        <m:r>
          <m:t>0</m:t>
        </m:r>
        <m:r>
          <m:rPr>
            <m:sty m:val="p"/>
          </m:rPr>
          <m:t>,</m:t>
        </m:r>
        <m:r>
          <m:t>202</m:t>
        </m:r>
      </m:oMath>
      <w:r>
        <w:t xml:space="preserve">) và Nhóm IV (</w:t>
      </w:r>
      <m:oMath>
        <m:r>
          <m:rPr>
            <m:sty m:val="p"/>
          </m:rPr>
          <m:t>+</m:t>
        </m:r>
        <m:r>
          <m:t>0</m:t>
        </m:r>
        <m:r>
          <m:rPr>
            <m:sty m:val="p"/>
          </m:rPr>
          <m:t>,</m:t>
        </m:r>
        <m:r>
          <m:t>183</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Bậc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177"/>
    <w:bookmarkStart w:id="178"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178"/>
    <w:bookmarkStart w:id="179" w:name="Xe41dbabf46811951e2d003231fb8e958f9ec50f"/>
    <w:p>
      <w:pPr>
        <w:pStyle w:val="Heading3"/>
      </w:pPr>
      <w:r>
        <w:t xml:space="preserve">4.1.8 Phổ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phổ thể chế mức hợp lệ giữa các nền kinh tế, nhất quán với lý thuyết thể chế theo đó thể chế mạnh kéo theo chi phí giao dịch thấp và biên lợi nhuận cao hơn. Cần lưu ý rằng phổ thể chế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phổ thể chế, từ 61,7% ở Nhóm I xuống 41,2% ở Nhóm V, phù hợp với khoảng cách hạ tầng số. Nổi bật nhất, tỷ lệ nữ trong quản trị cấp cao không theo phổ thể chế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179"/>
    <w:bookmarkEnd w:id="180"/>
    <w:bookmarkStart w:id="189" w:name="X793daa8b2eddd060588462e198e78f93f4f770d"/>
    <w:p>
      <w:pPr>
        <w:pStyle w:val="Heading2"/>
      </w:pPr>
      <w:r>
        <w:t xml:space="preserve">4.2 Kết quả tổng hợp định lượng: phân tích tổng hợp ba tầng (P6)</w:t>
      </w:r>
    </w:p>
    <w:bookmarkStart w:id="181" w:name="chỉ-số-hiệu-ứng-tổng-hợp"/>
    <w:p>
      <w:pPr>
        <w:pStyle w:val="Heading3"/>
      </w:pPr>
      <w:r>
        <w:t xml:space="preserve">4.2.1 Chỉ số hiệu ứng tổng hợp</w:t>
      </w:r>
    </w:p>
    <w:p>
      <w:pPr>
        <w:pStyle w:val="FirstParagraph"/>
      </w:pPr>
      <w:r>
        <w:t xml:space="preserve">Phân tích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phân tích tổng hợp trước đây của Bausch và Krist (2007), Kirca et al. (2012), Marano et al. (2016) và Arte và Larimo (2022): mối quan hệ tổng hợp giữa quốc tế hóa và hiệu quả hoạt động là dương nhưng có biên độ khiêm tốn. Đặt trong dải bằng chứng quốc tế,</w:t>
      </w:r>
      <w:r>
        <w:t xml:space="preserve"> </w:t>
      </w:r>
      <m:oMath>
        <m:r>
          <m:t>r</m:t>
        </m:r>
        <m:r>
          <m:rPr>
            <m:sty m:val="p"/>
          </m:rPr>
          <m:t>=</m:t>
        </m:r>
        <m:r>
          <m:t>0</m:t>
        </m:r>
        <m:r>
          <m:rPr>
            <m:sty m:val="p"/>
          </m:rPr>
          <m:t>,</m:t>
        </m:r>
        <m:r>
          <m:t>074</m:t>
        </m:r>
      </m:oMath>
      <w:r>
        <w:t xml:space="preserve"> </w:t>
      </w:r>
      <w:r>
        <w:t xml:space="preserve">nằm ở cận dưới của khoảng mà các phân tích tổng hợp toàn cầu báo cáo (Bausch và Krist, 2007:</w:t>
      </w:r>
      <w:r>
        <w:t xml:space="preserve"> </w:t>
      </w:r>
      <m:oMath>
        <m:r>
          <m:t>r</m:t>
        </m:r>
        <m:r>
          <m:rPr>
            <m:sty m:val="p"/>
          </m:rPr>
          <m:t>≈</m:t>
        </m:r>
        <m:r>
          <m:t>0</m:t>
        </m:r>
        <m:r>
          <m:rPr>
            <m:sty m:val="p"/>
          </m:rPr>
          <m:t>,</m:t>
        </m:r>
        <m:r>
          <m:t>10</m:t>
        </m:r>
      </m:oMath>
      <w:r>
        <w:t xml:space="preserve">; Marano et al., 2016:</w:t>
      </w:r>
      <w:r>
        <w:t xml:space="preserve"> </w:t>
      </w:r>
      <m:oMath>
        <m:r>
          <m:t>r</m:t>
        </m:r>
        <m:r>
          <m:rPr>
            <m:sty m:val="p"/>
          </m:rPr>
          <m:t>≈</m:t>
        </m:r>
        <m:r>
          <m:t>0</m:t>
        </m:r>
        <m:r>
          <m:rPr>
            <m:sty m:val="p"/>
          </m:rPr>
          <m:t>,</m:t>
        </m:r>
        <m:r>
          <m:t>07</m:t>
        </m:r>
      </m:oMath>
      <w:r>
        <w:t xml:space="preserve">–</w:t>
      </w:r>
      <m:oMath>
        <m:r>
          <m:t>0</m:t>
        </m:r>
        <m:r>
          <m:rPr>
            <m:sty m:val="p"/>
          </m:rPr>
          <m:t>,</m:t>
        </m:r>
        <m:r>
          <m:t>13</m:t>
        </m:r>
      </m:oMath>
      <w:r>
        <w:t xml:space="preserve">) và đặc biệt gần với các phân tích tổng hợp tập trung vào doanh nghiệp đa quốc gia thị trường mới nổi, vốn cũng ghi nhận hiệu ứng dương nhỏ kèm dị biệt rất cao (Wu et al., 2022); sự tương hợp này định vị P6 ở cận dưới của tài liệu quốc tế thay vì như một ngoại lệ.</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181"/>
    <w:bookmarkStart w:id="182"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4"/>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4"/>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82"/>
    <w:bookmarkStart w:id="183"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phổ thể chế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phổ thể chế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183"/>
    <w:bookmarkStart w:id="184"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184"/>
    <w:bookmarkStart w:id="185"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487</m:t>
        </m:r>
      </m:oMath>
      <w:r>
        <w:t xml:space="preserve"> </w:t>
      </w:r>
      <w:r>
        <w:t xml:space="preserve">(</w:t>
      </w:r>
      <m:oMath>
        <m:r>
          <m:t>p</m:t>
        </m:r>
        <m:r>
          <m:rPr>
            <m:sty m:val="p"/>
          </m:rPr>
          <m:t>=</m:t>
        </m:r>
        <m:r>
          <m:rPr>
            <m:sty m:val="p"/>
          </m:rPr>
          <m:t>,</m:t>
        </m:r>
        <m:r>
          <m:t>052</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132</m:t>
        </m:r>
      </m:oMath>
      <w:r>
        <w:t xml:space="preserve"> </w:t>
      </w:r>
      <w:r>
        <w:t xml:space="preserve">(</w:t>
      </w:r>
      <m:oMath>
        <m:r>
          <m:t>p</m:t>
        </m:r>
        <m:r>
          <m:rPr>
            <m:sty m:val="p"/>
          </m:rPr>
          <m:t>=</m:t>
        </m:r>
        <m:r>
          <m:rPr>
            <m:sty m:val="p"/>
          </m:rPr>
          <m:t>,</m:t>
        </m:r>
        <m:r>
          <m:t>001</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57</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44.782</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Tóm lại, bằng chứng lệch lạc công bố được xác nhận qua kiểm định Begg–Mazumdar có ý nghĩa (</w:t>
      </w:r>
      <m:oMath>
        <m:r>
          <m:t>p</m:t>
        </m:r>
        <m:r>
          <m:rPr>
            <m:sty m:val="p"/>
          </m:rPr>
          <m:t>=</m:t>
        </m:r>
        <m:r>
          <m:rPr>
            <m:sty m:val="p"/>
          </m:rPr>
          <m:t>,</m:t>
        </m:r>
        <m:r>
          <m:t>001</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thiết lập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thiết lập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185"/>
    <w:bookmarkStart w:id="186"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thiết lập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186"/>
    <w:bookmarkStart w:id="187" w:name="X4ce2f94328eb8320e9ed059e2c3fb4dd7d1a97a"/>
    <w:p>
      <w:pPr>
        <w:pStyle w:val="Heading3"/>
      </w:pPr>
      <w:r>
        <w:t xml:space="preserve">4.2.6 Phổ hiệu ứng theo nhóm thể chế và giới hạn của bằng chứng định hướng</w:t>
      </w:r>
    </w:p>
    <w:p>
      <w:pPr>
        <w:pStyle w:val="FirstParagraph"/>
      </w:pPr>
      <w:r>
        <w:t xml:space="preserve">Bảng hệ số gộp theo từng nhóm ICRV cho thấy một kết quả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phổ thể chế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phổ thể chế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187"/>
    <w:bookmarkStart w:id="188"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487</m:t>
        </m:r>
      </m:oMath>
      <w:r>
        <w:t xml:space="preserve">,</w:t>
      </w:r>
      <w:r>
        <w:t xml:space="preserve"> </w:t>
      </w:r>
      <m:oMath>
        <m:r>
          <m:t>p</m:t>
        </m:r>
        <m:r>
          <m:rPr>
            <m:sty m:val="p"/>
          </m:rPr>
          <m:t>=</m:t>
        </m:r>
        <m:r>
          <m:rPr>
            <m:sty m:val="p"/>
          </m:rPr>
          <m:t>,</m:t>
        </m:r>
        <m:r>
          <m:t>052</m:t>
        </m:r>
      </m:oMath>
      <w:r>
        <w:t xml:space="preserve">) trong khi kiểm định thứ hạng Begg–Mazumdar lại có ý nghĩa (</w:t>
      </w:r>
      <m:oMath>
        <m:r>
          <m:t>τ</m:t>
        </m:r>
        <m:r>
          <m:rPr>
            <m:sty m:val="p"/>
          </m:rPr>
          <m:t>=</m:t>
        </m:r>
        <m:r>
          <m:rPr>
            <m:sty m:val="p"/>
          </m:rPr>
          <m:t>−</m:t>
        </m:r>
        <m:r>
          <m:t>0</m:t>
        </m:r>
        <m:r>
          <m:rPr>
            <m:sty m:val="p"/>
          </m:rPr>
          <m:t>,</m:t>
        </m:r>
        <m:r>
          <m:t>132</m:t>
        </m:r>
      </m:oMath>
      <w:r>
        <w:t xml:space="preserve">,</w:t>
      </w:r>
      <w:r>
        <w:t xml:space="preserve"> </w:t>
      </w:r>
      <m:oMath>
        <m:r>
          <m:t>p</m:t>
        </m:r>
        <m:r>
          <m:rPr>
            <m:sty m:val="p"/>
          </m:rPr>
          <m:t>=</m:t>
        </m:r>
        <m:r>
          <m:rPr>
            <m:sty m:val="p"/>
          </m:rPr>
          <m:t>,</m:t>
        </m:r>
        <m:r>
          <m:t>001</m:t>
        </m:r>
      </m:oMath>
      <w:r>
        <w:t xml:space="preserve">), nên bằng chứng bất đối xứng dựa trên Egger đơn lẻ không được khẳng định. Quy trình cắt-và-điền (trim-and-fill) gán thêm 57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018</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44.782</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Nhìn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188"/>
    <w:bookmarkEnd w:id="189"/>
    <w:bookmarkStart w:id="199" w:name="Xae571c1410747d630a72c4d12985bac375822ae"/>
    <w:p>
      <w:pPr>
        <w:pStyle w:val="Heading2"/>
      </w:pPr>
      <w:r>
        <w:t xml:space="preserve">4.3 Kết quả bối cảnh thể chế tiên tiến đổi mới: Singapore (P4)</w:t>
      </w:r>
    </w:p>
    <w:bookmarkStart w:id="190"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hoạt động kinh doanh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190"/>
    <w:bookmarkStart w:id="191"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(bao gồm cả Bậc 1 và Bậc 2 của chỉ số DAI) cho thấy hiệu ứng khuếch đại (amplification) tại mức FSTS cao: hệ số tương tác</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91"/>
    <w:bookmarkStart w:id="192"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192"/>
    <w:bookmarkStart w:id="193"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mô hình cuối.</w:t>
      </w:r>
    </w:p>
    <w:bookmarkEnd w:id="193"/>
    <w:bookmarkStart w:id="194"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mô hình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194"/>
    <w:bookmarkStart w:id="195" w:name="Xb551b0690edc79caca1b03b187a531e4ea21dea"/>
    <w:p>
      <w:pPr>
        <w:pStyle w:val="Heading3"/>
      </w:pPr>
      <w:r>
        <w:t xml:space="preserve">4.3.6 Cơ chế lá chắn số: tương tác Bậc 1–Bậc 2 và hiệu ứng biên theo cường độ xuất khẩu</w:t>
      </w:r>
    </w:p>
    <w:p>
      <w:pPr>
        <w:pStyle w:val="FirstParagraph"/>
      </w:pPr>
      <w:r>
        <w:t xml:space="preserve">Bằng chứng mạnh nhất về vai trò của DAI xuất hiện ở các mô hình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mô hình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mô hình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95"/>
    <w:bookmarkStart w:id="196"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196"/>
    <w:bookmarkStart w:id="197"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mô hình chính trên mẫu Singapore. Hạng cường độ xuất khẩu tuyến tính dương và có ý nghĩa cao ở mọi mô hình,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mô hình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mô hình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m:oMath>
              <m:sSup>
                <m:e>
                  <m:r>
                    <m:rPr>
                      <m:nor/>
                      <m:sty m:val="p"/>
                    </m:rPr>
                    <m:t>FSTS</m:t>
                  </m:r>
                </m:e>
                <m:sup>
                  <m:r>
                    <m:t>2</m:t>
                  </m:r>
                </m:sup>
              </m:sSup>
            </m:oMath>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m:oMath>
              <m:r>
                <m:rPr>
                  <m:nor/>
                  <m:sty m:val="p"/>
                </m:rPr>
                <m:t>FSTS</m:t>
              </m:r>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m:oMath>
              <m:sSup>
                <m:e>
                  <m:r>
                    <m:rPr>
                      <m:nor/>
                      <m:sty m:val="p"/>
                    </m:rPr>
                    <m:t>FSTS</m:t>
                  </m:r>
                </m:e>
                <m:sup>
                  <m:r>
                    <m:t>2</m:t>
                  </m:r>
                </m:sup>
              </m:sSup>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mô hình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mô hình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197"/>
    <w:bookmarkStart w:id="198"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mô hình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mô hình OLS được giữ làm mô hình chính. Tóm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Bậc 2 sẵn có về mặt thể chế làm cơ chế mở rộng quy mô có điều kiện trở nên nhận diện được về thực nghiệm.</w:t>
      </w:r>
    </w:p>
    <w:p>
      <w:r>
        <w:pict>
          <v:rect style="width:0;height:1.5pt" o:hralign="center" o:hrstd="t" o:hr="t"/>
        </w:pict>
      </w:r>
    </w:p>
    <w:bookmarkEnd w:id="198"/>
    <w:bookmarkEnd w:id="199"/>
    <w:bookmarkStart w:id="208" w:name="Xabe361c2d5961cf19ce7ab2bd5d9bc6d758140a"/>
    <w:p>
      <w:pPr>
        <w:pStyle w:val="Heading2"/>
      </w:pPr>
      <w:r>
        <w:t xml:space="preserve">4.4 Kết quả bối cảnh thể chế trung bình cao: Trung Quốc, 2012–2024 (P5)</w:t>
      </w:r>
    </w:p>
    <w:bookmarkStart w:id="200"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kinh doanh của doanh nghiệp. Điểm điểm uốn được ước lượng tại:</w:t>
      </w:r>
    </w:p>
    <w:p>
      <w:pPr>
        <w:numPr>
          <w:ilvl w:val="0"/>
          <w:numId w:val="1015"/>
        </w:numPr>
        <w:pStyle w:val="Compact"/>
      </w:pPr>
      <w:r>
        <w:rPr>
          <w:bCs/>
          <w:b/>
        </w:rPr>
        <w:t xml:space="preserve">Năm 2012</w:t>
      </w:r>
      <w:r>
        <w:t xml:space="preserve">: TP = 49,37% FSTS</w:t>
      </w:r>
    </w:p>
    <w:p>
      <w:pPr>
        <w:numPr>
          <w:ilvl w:val="0"/>
          <w:numId w:val="1015"/>
        </w:numPr>
        <w:pStyle w:val="Compact"/>
      </w:pPr>
      <w:r>
        <w:rPr>
          <w:bCs/>
          <w:b/>
        </w:rPr>
        <w:t xml:space="preserve">Năm 2024</w:t>
      </w:r>
      <w:r>
        <w:t xml:space="preserve">: TP = 47,19% FSTS</w:t>
      </w:r>
    </w:p>
    <w:p>
      <w:pPr>
        <w:numPr>
          <w:ilvl w:val="0"/>
          <w:numId w:val="1015"/>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200"/>
    <w:bookmarkStart w:id="201"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201"/>
    <w:bookmarkStart w:id="202" w:name="vai-trò-của-tci-và-dai"/>
    <w:p>
      <w:pPr>
        <w:pStyle w:val="Heading3"/>
      </w:pPr>
      <w:r>
        <w:t xml:space="preserve">4.4.3 Vai trò của TCI và DAI</w:t>
      </w:r>
    </w:p>
    <w:p>
      <w:pPr>
        <w:pStyle w:val="FirstParagraph"/>
      </w:pPr>
      <w:r>
        <w:t xml:space="preserve">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không đạt ý nghĩa thống kê (điều tiết không có ý nghĩa,</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202"/>
    <w:bookmarkStart w:id="203" w:name="Xff6260f0292f1de2c718a7cc22e284da4d4195e"/>
    <w:p>
      <w:pPr>
        <w:pStyle w:val="Heading3"/>
      </w:pPr>
      <w:r>
        <w:t xml:space="preserve">4.4.4 Bộ hệ số mô hình ngưỡng chính (M2) và độ lớn kinh tế</w:t>
      </w:r>
    </w:p>
    <w:p>
      <w:pPr>
        <w:pStyle w:val="FirstParagraph"/>
      </w:pPr>
      <w:r>
        <w:t xml:space="preserve">Mô hình ngưỡng chính M2 (mô hình</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203"/>
    <w:bookmarkStart w:id="204"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mô hình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204"/>
    <w:bookmarkStart w:id="205"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mô hình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Cần lưu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205"/>
    <w:bookmarkStart w:id="206"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206"/>
    <w:bookmarkStart w:id="207"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mô hình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207"/>
    <w:bookmarkEnd w:id="208"/>
    <w:bookmarkStart w:id="220" w:name="Xdbd5cc67084304ba85b73781c0cb0c00b74055b"/>
    <w:p>
      <w:pPr>
        <w:pStyle w:val="Heading2"/>
      </w:pPr>
      <w:r>
        <w:t xml:space="preserve">4.5 Kết quả bối cảnh chuyển đổi bậc thấp–trung: Việt Nam (P3)</w:t>
      </w:r>
    </w:p>
    <w:bookmarkStart w:id="209"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209"/>
    <w:bookmarkStart w:id="210"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210"/>
    <w:bookmarkStart w:id="211"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211"/>
    <w:bookmarkStart w:id="212"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(chỉ bao gồm Bậc 1 DAI do giới hạn đo lường WBES trong các làn sóng này) cho kết quả yếu dương nhưng không có ý nghĩa thống kê. Kết quả này có thể phản ánh hạn chế về đo lường: Bậc 1 DAI chỉ nắm bắt mức độ chấp nhận số bề mặt (website, email, online sales) chứ không đo lường được chiều sâu năng lực số. Với dữ liệu WBES Việt Nam chỉ cung cấp Bậc 1, không đủ phân biệt để phát hiện hiệu ứng điều tiết tinh tế hơn.</w:t>
      </w:r>
    </w:p>
    <w:bookmarkEnd w:id="212"/>
    <w:bookmarkStart w:id="213"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213"/>
    <w:bookmarkStart w:id="214"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214"/>
    <w:bookmarkStart w:id="215"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(biên tham gia), chứ không phải độ cong cường độ trong nhóm doanh nghiệp xuất khẩu (biên cường độ).</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Bậc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215"/>
    <w:bookmarkStart w:id="216"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216"/>
    <w:bookmarkStart w:id="217"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mô hình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217"/>
    <w:bookmarkStart w:id="218" w:name="X74521efb953a9ebb566aa1fa0342a1606d94df2"/>
    <w:p>
      <w:pPr>
        <w:pStyle w:val="Heading3"/>
      </w:pPr>
      <w:r>
        <w:t xml:space="preserve">4.5.10 Củng cố độ vững: tách ngành, mô hình bậc ba và bộ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mô hình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mô hình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mô hình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218"/>
    <w:bookmarkStart w:id="219"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219"/>
    <w:bookmarkEnd w:id="220"/>
    <w:bookmarkStart w:id="232" w:name="X561afa853383c674354c1acb167a55cae3a018f"/>
    <w:p>
      <w:pPr>
        <w:pStyle w:val="Heading2"/>
      </w:pPr>
      <w:r>
        <w:t xml:space="preserve">4.6 Kết quả kiểm định toàn mẫu đa bối cảnh châu Á (P7)</w:t>
      </w:r>
    </w:p>
    <w:bookmarkStart w:id="221"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mô hình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mô hình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mô hình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Mô hình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w:t>
            </w:r>
            <w:r>
              <w:t xml:space="preserve"> </w:t>
            </w:r>
            <m:oMath>
              <m:sSup>
                <m:e>
                  <m:r>
                    <m:rPr>
                      <m:nor/>
                      <m:sty m:val="p"/>
                    </m:rPr>
                    <m:t>FSTS</m:t>
                  </m:r>
                </m:e>
                <m:sup>
                  <m:r>
                    <m:t>2</m:t>
                  </m:r>
                </m:sup>
              </m:sSup>
            </m:oMath>
            <w:r>
              <w:t xml:space="preserve">,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79.080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đặc tả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221"/>
    <w:bookmarkStart w:id="225"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hình ảnh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phổ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phổ thể chế</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phổ thể chế</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223" name="Picture"/>
            <a:graphic>
              <a:graphicData uri="http://schemas.openxmlformats.org/drawingml/2006/picture">
                <pic:pic>
                  <pic:nvPicPr>
                    <pic:cNvPr descr="figures/fig_4_x_ip_curves_icrv_gradient.png" id="224" name="Picture"/>
                    <pic:cNvPicPr>
                      <a:picLocks noChangeArrowheads="1" noChangeAspect="1"/>
                    </pic:cNvPicPr>
                  </pic:nvPicPr>
                  <pic:blipFill>
                    <a:blip r:embed="rId222"/>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phổ thể chế (Nhóm IV, điểm uốn 43,0%); ở biên trên (Nhóm I) đường cong duỗi thẳng gần tuyến tính dương; ở biên dưới (Nhóm V và VI) quan hệ mất cấu trúc, riêng SIDS chuyển sang quan hệ âm theo mức (FIP, H1b, theo đặc tả mức của P8).</w:t>
      </w:r>
      <w:r>
        <w:t xml:space="preserve"> </w:t>
      </w:r>
      <w:r>
        <w:rPr>
          <w:iCs/>
          <w:i/>
        </w:rPr>
        <w:t xml:space="preserve">Nguồn: minh họa của tác giả từ kết quả ước lượng 50 nền và P4, P8.</w:t>
      </w:r>
    </w:p>
    <w:bookmarkEnd w:id="225"/>
    <w:bookmarkStart w:id="226" w:name="điều-tiết-bởi-tci-và-dai-trong-toàn-mẫu"/>
    <w:p>
      <w:pPr>
        <w:pStyle w:val="Heading3"/>
      </w:pPr>
      <w:r>
        <w:t xml:space="preserve">4.6.3 Điều tiết bởi TCI và DAI trong toàn mẫu</w:t>
      </w:r>
    </w:p>
    <w:p>
      <w:pPr>
        <w:numPr>
          <w:ilvl w:val="0"/>
          <w:numId w:val="1016"/>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6"/>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50 nền chỉ đo được DAI ở Bậc 1 (hiện diện web), nơi công cụ số chưa đủ chiều sâu để uốn đường cong, trong khi hiệu ứng uốn mạnh ở Singapore gắn với năng lực số Bậc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226"/>
    <w:bookmarkStart w:id="227"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Mô hình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(mô hình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mô hình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227"/>
    <w:bookmarkStart w:id="228"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 FSTS²×ICRV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phổ liên tục. Cụ thể hơn, điều tiết thể chế là điều tiết về sự tồn tại của dạng hàm, không phải điều tiết về vị trí của một điểm uốn phổ quát.</w:t>
      </w:r>
    </w:p>
    <w:bookmarkEnd w:id="228"/>
    <w:bookmarkStart w:id="229"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phổ liên tục mà như ba vùng rời rạc. Ở giữa phổ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mất cấu trúc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229"/>
    <w:bookmarkStart w:id="230"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trong một dải hẹp ở từng vùng dù được ước lượng trên các mẫu, công cụ khảo sát và mô hình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rằng điểm uốn vùng giữa là một quy luật cấu trúc chứ không phải tạo tác của một mẫu đơn lẻ. Cần đọc đây như một</w:t>
      </w:r>
      <w:r>
        <w:t xml:space="preserve"> </w:t>
      </w:r>
      <w:r>
        <w:rPr>
          <w:bCs/>
          <w:b/>
        </w:rPr>
        <w:t xml:space="preserve">hội tụ dải</w:t>
      </w:r>
      <w:r>
        <w:t xml:space="preserve"> </w:t>
      </w:r>
      <w:r>
        <w:t xml:space="preserve">(trong khoảng</w:t>
      </w:r>
      <w:r>
        <w:t xml:space="preserve"> </w:t>
      </w:r>
      <m:oMath>
        <m:r>
          <m:rPr>
            <m:sty m:val="p"/>
          </m:rPr>
          <m:t>±</m:t>
        </m:r>
        <m:r>
          <m:t>5</m:t>
        </m:r>
      </m:oMath>
      <w:r>
        <w:t xml:space="preserve"> </w:t>
      </w:r>
      <w:r>
        <w:t xml:space="preserve">điểm phần trăm quanh mốc Nhóm IV) chứ không phải một sự trùng khớp điểm: điểm uốn Trung Quốc (</w:t>
      </w:r>
      <m:oMath>
        <m:r>
          <m:rPr>
            <m:sty m:val="p"/>
          </m:rPr>
          <m:t>≈</m:t>
        </m:r>
        <m:r>
          <m:t>48</m:t>
        </m:r>
        <m:r>
          <m:rPr>
            <m:sty m:val="p"/>
          </m:rPr>
          <m:t>,</m:t>
        </m:r>
        <m:r>
          <m:t>8</m:t>
        </m:r>
        <m:r>
          <m:rPr>
            <m:sty m:val="p"/>
          </m:rPr>
          <m:t>%</m:t>
        </m:r>
      </m:oMath>
      <w:r>
        <w:t xml:space="preserve">, Nhóm III) nằm</w:t>
      </w:r>
      <w:r>
        <w:t xml:space="preserve"> </w:t>
      </w:r>
      <w:r>
        <w:rPr>
          <w:bCs/>
          <w:b/>
        </w:rPr>
        <w:t xml:space="preserve">lân cận</w:t>
      </w:r>
      <w:r>
        <w:t xml:space="preserve"> </w:t>
      </w:r>
      <w:r>
        <w:t xml:space="preserve">dải này chứ không trùng, và điểm uốn Ấn Độ di động ngay trong Nhóm IV theo thời gian (61,8% năm 2014 → 40,7% năm 2022; Mục 4.8), cho thấy vị trí điểm uốn theo chế độ là một dải đặc trưng có biến thiên nội nhóm chứ không phải một hằng số cấu trúc tuyệt đối.</w:t>
      </w:r>
    </w:p>
    <w:p>
      <w:pPr>
        <w:pStyle w:val="BodyText"/>
      </w:pPr>
      <w:r>
        <w:t xml:space="preserve">Ở biên trên của phổ thể chế,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bookmarkEnd w:id="230"/>
    <w:bookmarkStart w:id="231"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50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phổ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T</m:t>
        </m:r>
        <m:r>
          <m:rPr>
            <m:sty m:val="p"/>
          </m:rPr>
          <m:t>C</m:t>
        </m:r>
        <m:r>
          <m:rPr>
            <m:sty m:val="p"/>
          </m:rPr>
          <m:t>I</m:t>
        </m:r>
      </m:oMath>
      <w:r>
        <w:t xml:space="preserve">,</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Bậc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231"/>
    <w:bookmarkEnd w:id="232"/>
    <w:bookmarkStart w:id="244" w:name="X42f69945b56833cca239d45dc5864a7be6f74d7"/>
    <w:p>
      <w:pPr>
        <w:pStyle w:val="Heading2"/>
      </w:pPr>
      <w:r>
        <w:t xml:space="preserve">4.7 Kết quả trường hợp biên SIDS: Các nền kinh tế đảo nhỏ đang phát triển (P8)</w:t>
      </w:r>
    </w:p>
    <w:bookmarkStart w:id="233"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Bảy nền này là các quốc đảo Thái Bình Dương theo phân loại của Ngân hàng Thế giới và danh sách SIDS Thái Bình Dương của Liên Hợp Quốc; Timor-Leste, dù từng bị một số bản dựng dữ liệu xếp nhầm vào nhóm,</w:t>
      </w:r>
      <w:r>
        <w:t xml:space="preserve"> </w:t>
      </w:r>
      <w:r>
        <w:rPr>
          <w:bCs/>
          <w:b/>
        </w:rPr>
        <w:t xml:space="preserve">không</w:t>
      </w:r>
      <w:r>
        <w:t xml:space="preserve"> </w:t>
      </w:r>
      <w:r>
        <w:t xml:space="preserve">thuộc nhóm quốc đảo Thái Bình Dương (Ngân hàng Thế giới xếp là một nền kinh tế Đông Á–Thái Bình Dương riêng) nên được loại khỏi phân tích. Mẫu phân tích, gồm các quan sát có đủ giá trị về năng suất lao động và cường độ xuất khẩu, có tổng</w:t>
      </w:r>
      <w:r>
        <w:t xml:space="preserve"> </w:t>
      </w:r>
      <m:oMath>
        <m:r>
          <m:t>N</m:t>
        </m:r>
        <m:r>
          <m:rPr>
            <m:sty m:val="p"/>
          </m:rPr>
          <m:t>=</m:t>
        </m:r>
        <m:r>
          <m:t>1.450</m:t>
        </m:r>
      </m:oMath>
      <w:r>
        <w:t xml:space="preserve"> </w:t>
      </w:r>
      <w:r>
        <w:t xml:space="preserve">doanh nghiệp trên bảy cụm quốc gia, trong đó 212 doanh nghiệp (14,6% mẫu) có xuất khẩu với cường độ dương. Cường độ xuất khẩu trung bình rất thấp, ở mức 0,054 (tức 5,4%),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233"/>
    <w:bookmarkStart w:id="237"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việc dạng chữ U ngược mất cấu trúc</w:t>
      </w:r>
      <w:r>
        <w:t xml:space="preserve">. Trên mẫu đầy đủ bảy nền kinh tế đảo nhỏ Thái Bình Dương (</w:t>
      </w:r>
      <m:oMath>
        <m:r>
          <m:t>N</m:t>
        </m:r>
        <m:r>
          <m:rPr>
            <m:sty m:val="p"/>
          </m:rPr>
          <m:t>=</m:t>
        </m:r>
        <m:r>
          <m:t>1.450</m:t>
        </m:r>
      </m:oMath>
      <w:r>
        <w:t xml:space="preserve"> </w:t>
      </w:r>
      <w:r>
        <w:t xml:space="preserve">doanh nghiệp, bảy cụm quốc gia), ước lượng bằng đúng quy trình hài hòa hóa của P7 (biến phụ thuộc là năng suất lao động chuẩn hóa z trong từng cặp nền × năm, hiệu ứng cố định nền và năm) với suy luận few-cluster hợp lệ bằng bootstrap cụm hoang dã (Cameron, Gelbach và Miller, 2008; B = 9.999),</w:t>
      </w:r>
      <w:r>
        <w:t xml:space="preserve"> </w:t>
      </w:r>
      <w:r>
        <w:rPr>
          <w:bCs/>
          <w:b/>
        </w:rPr>
        <w:t xml:space="preserve">cả độ cong lẫn độ dốc của FSTS đều không có ý nghĩa thống kê</w:t>
      </w:r>
      <w:r>
        <w:t xml:space="preserve">: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ở mô hình tuyến tính, và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 </w:t>
      </w:r>
      <w:r>
        <w:t xml:space="preserve">chỉ đạt ý nghĩa biên (</w:t>
      </w:r>
      <m:oMath>
        <m:sSub>
          <m:e>
            <m:r>
              <m:t>p</m:t>
            </m:r>
          </m:e>
          <m:sub>
            <m:r>
              <m:rPr>
                <m:nor/>
                <m:sty m:val="p"/>
              </m:rPr>
              <m:t>wild</m:t>
            </m:r>
          </m:sub>
        </m:sSub>
        <m:r>
          <m:rPr>
            <m:sty m:val="p"/>
          </m:rPr>
          <m:t>=</m:t>
        </m:r>
        <m:r>
          <m:rPr>
            <m:sty m:val="p"/>
          </m:rPr>
          <m:t>,</m:t>
        </m:r>
        <m:r>
          <m:t>082</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mô hình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051</m:t>
        </m:r>
      </m:oMath>
      <w:r>
        <w:t xml:space="preserve"> </w:t>
      </w:r>
      <w:r>
        <w:t xml:space="preserve">(</w:t>
      </w:r>
      <m:oMath>
        <m:sSub>
          <m:e>
            <m:r>
              <m:t>p</m:t>
            </m:r>
          </m:e>
          <m:sub>
            <m:r>
              <m:rPr>
                <m:nor/>
                <m:sty m:val="p"/>
              </m:rPr>
              <m:t>wild</m:t>
            </m:r>
          </m:sub>
        </m:sSub>
        <m:r>
          <m:rPr>
            <m:sty m:val="p"/>
          </m:rPr>
          <m:t>=</m:t>
        </m:r>
        <m:r>
          <m:rPr>
            <m:sty m:val="p"/>
          </m:rPr>
          <m:t>,</m:t>
        </m:r>
        <m:r>
          <m:t>056</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852</m:t>
        </m:r>
      </m:oMath>
      <w:r>
        <w:t xml:space="preserve"> </w:t>
      </w:r>
      <w:r>
        <w:t xml:space="preserve">(</w:t>
      </w:r>
      <m:oMath>
        <m:sSub>
          <m:e>
            <m:r>
              <m:t>p</m:t>
            </m:r>
          </m:e>
          <m:sub>
            <m:r>
              <m:rPr>
                <m:nor/>
                <m:sty m:val="p"/>
              </m:rPr>
              <m:t>wild</m:t>
            </m:r>
          </m:sub>
        </m:sSub>
        <m:r>
          <m:rPr>
            <m:sty m:val="p"/>
          </m:rPr>
          <m:t>=</m:t>
        </m:r>
        <m:r>
          <m:rPr>
            <m:sty m:val="p"/>
          </m:rPr>
          <m:t>,</m:t>
        </m:r>
        <m:r>
          <m:t>024</m:t>
        </m:r>
      </m:oMath>
      <w:r>
        <w:t xml:space="preserve">), hàm ý một</w:t>
      </w:r>
      <w:r>
        <w:t xml:space="preserve"> </w:t>
      </w:r>
      <w:r>
        <w:rPr>
          <w:bCs/>
          <w:b/>
        </w:rPr>
        <w:t xml:space="preserve">vùng phạt năng suất trong dải cường độ xuất khẩu thấp đến trung bình</w:t>
      </w:r>
      <w:r>
        <w:t xml:space="preserve"> </w:t>
      </w:r>
      <w:r>
        <w:t xml:space="preserve">— đúng vùng mà gần như toàn bộ doanh nghiệp đảo nhỏ hoạt động —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064</m:t>
        </m:r>
      </m:oMath>
      <w:r>
        <w:t xml:space="preserve">,</w:t>
      </w:r>
      <w:r>
        <w:t xml:space="preserve"> </w:t>
      </w:r>
      <m:oMath>
        <m:sSub>
          <m:e>
            <m:r>
              <m:t>p</m:t>
            </m:r>
          </m:e>
          <m:sub>
            <m:r>
              <m:rPr>
                <m:nor/>
                <m:sty m:val="p"/>
              </m:rPr>
              <m:t>wild</m:t>
            </m:r>
          </m:sub>
        </m:sSub>
        <m:r>
          <m:rPr>
            <m:sty m:val="p"/>
          </m:rPr>
          <m:t>=</m:t>
        </m:r>
        <m:r>
          <m:rPr>
            <m:sty m:val="p"/>
          </m:rPr>
          <m:t>,</m:t>
        </m:r>
        <m:r>
          <m:t>036</m:t>
        </m:r>
      </m:oMath>
      <w:r>
        <w:t xml:space="preserve">) nhưng không khôi phục dạng chữ U ngược.</w:t>
      </w:r>
    </w:p>
    <w:p>
      <w:pPr>
        <w:pStyle w:val="CaptionedFigure"/>
      </w:pPr>
      <w:r>
        <w:drawing>
          <wp:inline>
            <wp:extent cx="5753100" cy="2563881"/>
            <wp:effectExtent b="0" l="0" r="0" t="0"/>
            <wp:docPr descr="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235" name="Picture"/>
            <a:graphic>
              <a:graphicData uri="http://schemas.openxmlformats.org/drawingml/2006/picture">
                <pic:pic>
                  <pic:nvPicPr>
                    <pic:cNvPr descr="figures/fig_4_7_1_sids_inversion.png" id="236" name="Picture"/>
                    <pic:cNvPicPr>
                      <a:picLocks noChangeArrowheads="1" noChangeAspect="1"/>
                    </pic:cNvPicPr>
                  </pic:nvPicPr>
                  <pic:blipFill>
                    <a:blip r:embed="rId234"/>
                    <a:stretch>
                      <a:fillRect/>
                    </a:stretch>
                  </pic:blipFill>
                  <pic:spPr bwMode="auto">
                    <a:xfrm>
                      <a:off x="0" y="0"/>
                      <a:ext cx="5753100" cy="2563881"/>
                    </a:xfrm>
                    <a:prstGeom prst="rect">
                      <a:avLst/>
                    </a:prstGeom>
                    <a:noFill/>
                    <a:ln w="9525">
                      <a:noFill/>
                      <a:headEnd/>
                      <a:tailEnd/>
                    </a:ln>
                  </pic:spPr>
                </pic:pic>
              </a:graphicData>
            </a:graphic>
          </wp:inline>
        </w:drawing>
      </w:r>
    </w:p>
    <w:p>
      <w:pPr>
        <w:pStyle w:val="ImageCaption"/>
      </w:pPr>
      <w:r>
        <w:t xml:space="preserve">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 dấu hiệu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việc chữ U ngược mất cấu trúc</w:t>
      </w:r>
      <w:r>
        <w:t xml:space="preserve">; độ cong dương có điều kiện chỉ là một dấu hiệu gợi ý ở mức biên ý nghĩa.</w:t>
      </w:r>
    </w:p>
    <w:bookmarkEnd w:id="237"/>
    <w:bookmarkStart w:id="238"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hoạt động kinh doanh của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238"/>
    <w:bookmarkStart w:id="239"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239"/>
    <w:bookmarkStart w:id="240"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240"/>
    <w:bookmarkStart w:id="241"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dấu hiệu đặc trưng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241"/>
    <w:bookmarkStart w:id="242" w:name="X43aaaec6098e02f393fbba06055f5eafb097236"/>
    <w:p>
      <w:pPr>
        <w:pStyle w:val="Heading3"/>
      </w:pPr>
      <w:r>
        <w:t xml:space="preserve">4.7.7 Mô thức dấu của hệ số FIP qua các mô hình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mô hình,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mô hình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242"/>
    <w:bookmarkStart w:id="243"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mô hình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w:t>
      </w:r>
      <w:r>
        <w:t xml:space="preserve">— khái niệm gánh nặng quốc tế hóa bắt buộc có giá trị định hướng —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243"/>
    <w:bookmarkEnd w:id="244"/>
    <w:bookmarkStart w:id="253"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Mô hình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đợt</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Cách đọc này biến một mâu thuẫn bề ngoài (một nền Nhóm IV khởi đầu với điểm uốn kiểu Nhóm I) thành bằng chứng ủng hộ: Ấn Độ tiền cú sốc vận hành như một chế độ thể chế cao hơn vị trí thu nhập của nó, và chỉ chuỗi cú sốc thể chế sau 2016 mới kéo điểm uốn về dải Nhóm IV trước khi làm mất cấu trúc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Bậc 1 (trang web) chung cho cả ba đợt, WBES BREADY cung cấp thêm chỉ báo Bậc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Bậc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Bậc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245"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Bậc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Bậc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245"/>
    <w:bookmarkStart w:id="246" w:name="X831cc447fad3f32e70dc6a6e8cab29a5c412c7c"/>
    <w:p>
      <w:pPr>
        <w:pStyle w:val="Heading3"/>
      </w:pPr>
      <w:r>
        <w:t xml:space="preserve">4.8.2 Mô hình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đợt</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đợt</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Mô hình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246"/>
    <w:bookmarkStart w:id="247"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mô hình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Bậc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Bậc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247"/>
    <w:bookmarkStart w:id="248"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mô hình là tuyến tính thay vì bậc hai.</w:t>
      </w:r>
    </w:p>
    <w:p>
      <w:pPr>
        <w:pStyle w:val="BodyText"/>
      </w:pPr>
      <w:r>
        <w:t xml:space="preserve">Kết quả xác nhận ba mệnh đề. Thứ nhất, mức độ quốc tế hóa tác động âm lên hiệu quả ở mô hình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248"/>
    <w:bookmarkStart w:id="249"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249"/>
    <w:bookmarkStart w:id="250"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mất cấu trúc vào 2025; mô hình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250"/>
    <w:bookmarkStart w:id="251"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mất cấu trúc.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mô hình (R1, R2, R3b, R4) xác nhận mô thức định tính chữ U ngược hiện diện 2014–2022 rồi biến mất 2025; mô hình thứ năm (R3a) xác nhận hiện diện 2022 và biến mất 2025.</w:t>
      </w:r>
    </w:p>
    <w:bookmarkEnd w:id="251"/>
    <w:bookmarkStart w:id="252"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mô hình chính. Đối với tương tác UPI Bậc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(Bậc 2 lấn át Bậc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252"/>
    <w:bookmarkEnd w:id="253"/>
    <w:bookmarkStart w:id="257"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254"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mô hình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m:oMath>
              <m:sSup>
                <m:e>
                  <m:r>
                    <m:rPr>
                      <m:nor/>
                      <m:sty m:val="p"/>
                    </m:rPr>
                    <m:t>FSTS</m:t>
                  </m:r>
                </m:e>
                <m:sup>
                  <m:r>
                    <m:t>2</m:t>
                  </m:r>
                </m:sup>
              </m:sSup>
            </m:oMath>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mô hình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mô hình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mô hình số hạng bậc hai vô nghĩa. Riêng mô hình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phổ ba vùng của thể chế: chữ U ngược ở các chế độ chuyển đổi, gần tuyến tính ở biên trên, mất cấu trúc ở biên dưới.</w:t>
      </w:r>
    </w:p>
    <w:bookmarkEnd w:id="254"/>
    <w:bookmarkStart w:id="255"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Bậc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255"/>
    <w:bookmarkStart w:id="256"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phổ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256"/>
    <w:bookmarkEnd w:id="257"/>
    <w:bookmarkStart w:id="258"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phổ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phổ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Phổ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Bậc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258"/>
    <w:bookmarkStart w:id="259"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w:t>
            </w:r>
            <m:oMath>
              <m:r>
                <m:t>β</m:t>
              </m:r>
              <m:r>
                <m:rPr>
                  <m:sty m:val="p"/>
                </m:rPr>
                <m:t>=</m:t>
              </m:r>
              <m:r>
                <m:t>0</m:t>
              </m:r>
              <m:r>
                <m:rPr>
                  <m:sty m:val="p"/>
                </m:rPr>
                <m:t>,</m:t>
              </m:r>
              <m:r>
                <m:t>179</m:t>
              </m:r>
            </m:oMath>
            <w:r>
              <w:t xml:space="preserve">, biến công cụ)</w:t>
            </w:r>
          </w:p>
        </w:tc>
        <w:tc>
          <w:tcPr/>
          <w:p>
            <w:pPr>
              <w:pStyle w:val="Compact"/>
              <w:jc w:val="left"/>
            </w:pPr>
            <w:r>
              <w:t xml:space="preserve">không có ý nghĩa (Bậc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(+0,28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(toàn cầu, 49 nền)</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1.450</w:t>
            </w:r>
          </w:p>
        </w:tc>
        <w:tc>
          <w:tcPr/>
          <w:p>
            <w:pPr>
              <w:pStyle w:val="Compact"/>
              <w:jc w:val="left"/>
            </w:pPr>
            <w:r>
              <w:t xml:space="preserve">chữ U ngược mất cấu trúc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(7 nền,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Bậc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mô hình).</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việc chữ U ngược mất cấu trúc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phổ thể chế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 50 nền); tương tác đường cong cùng chiều nén nhưng không ý nghĩa toàn mẫu; bằng chứng điều tiết rõ nhất ở bối cảnh đơn quốc gia (P4:</w:t>
            </w:r>
            <w:r>
              <w:t xml:space="preserve"> </w:t>
            </w: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r>
              <w:t xml:space="preserve">); không có ý nghĩa tại Việt Nam (Bậc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phổ thể chế)</w:t>
            </w:r>
          </w:p>
        </w:tc>
        <w:tc>
          <w:tcPr/>
          <w:p>
            <w:pPr>
              <w:pStyle w:val="Compact"/>
              <w:jc w:val="left"/>
            </w:pPr>
            <w:r>
              <w:t xml:space="preserve">Thể chế điều tiết phổ thể chế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phổ thể chế định hướng (E1a/E1b) chưa xác nhận do</w:t>
            </w:r>
            <w:r>
              <w:t xml:space="preserve"> </w:t>
            </w:r>
            <w:r>
              <w:rPr>
                <w:iCs/>
                <w:i/>
              </w:rPr>
              <w:t xml:space="preserve">k</w:t>
            </w:r>
            <w:r>
              <w:t xml:space="preserve"> </w:t>
            </w:r>
            <w:r>
              <w:t xml:space="preserve">= 3 tại nhóm Frontier (bin FR, hệ 5-regime của P6); phổ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mất cấu trúc tại SIDS; FIP là trường hợp giới hạn</w:t>
            </w:r>
          </w:p>
        </w:tc>
        <w:tc>
          <w:tcPr/>
          <w:p>
            <w:pPr>
              <w:pStyle w:val="Compact"/>
              <w:jc w:val="left"/>
            </w:pPr>
            <w:r>
              <w:t xml:space="preserve">Ủng hộ theo hướng mất cấu trúc: trên mẫu đầy đủ bảy nền Thái Bình Dương (</w:t>
            </w:r>
            <m:oMath>
              <m:r>
                <m:t>N</m:t>
              </m:r>
              <m:r>
                <m:rPr>
                  <m:sty m:val="p"/>
                </m:rPr>
                <m:t>=</m:t>
              </m:r>
              <m:r>
                <m:t>1.450</m:t>
              </m:r>
            </m:oMath>
            <w:r>
              <w:t xml:space="preserve">, bảy cụm)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Hệ số âm mạnh (</w:t>
            </w:r>
            <m:oMath>
              <m:r>
                <m:rPr>
                  <m:sty m:val="p"/>
                </m:rPr>
                <m:t>−</m:t>
              </m:r>
              <m:r>
                <m:t>1</m:t>
              </m:r>
              <m:r>
                <m:rPr>
                  <m:sty m:val="p"/>
                </m:rPr>
                <m:t>,</m:t>
              </m:r>
              <m:sSup>
                <m:e>
                  <m:r>
                    <m:t>339</m:t>
                  </m:r>
                </m:e>
                <m:sup>
                  <m:r>
                    <m:rPr>
                      <m:sty m:val="p"/>
                    </m:rPr>
                    <m:t>*</m:t>
                  </m:r>
                  <m:r>
                    <m:rPr>
                      <m:sty m:val="p"/>
                    </m:rPr>
                    <m:t>*</m:t>
                  </m:r>
                  <m:r>
                    <m:rPr>
                      <m:sty m:val="p"/>
                    </m:rPr>
                    <m:t>*</m:t>
                  </m:r>
                </m:sup>
              </m:sSup>
            </m:oMath>
            <w:r>
              <w:t xml:space="preserv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Bậc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259"/>
    <w:bookmarkStart w:id="260"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260"/>
    <w:bookmarkStart w:id="261" w:name="chương-5-kết-luận-và-đề-xuất"/>
    <w:p>
      <w:pPr>
        <w:pStyle w:val="Heading1"/>
      </w:pPr>
      <w:r>
        <w:t xml:space="preserve">CHƯƠNG 5: KẾT LUẬN VÀ ĐỀ XUẤT</w:t>
      </w:r>
    </w:p>
    <w:bookmarkEnd w:id="261"/>
    <w:p>
      <w:r>
        <w:pict>
          <v:rect style="width:0;height:1.5pt" o:hralign="center" o:hrstd="t" o:hr="t"/>
        </w:pict>
      </w:r>
    </w:p>
    <w:bookmarkStart w:id="262"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Toàn bộ chương được tổ chức quanh việc bảo vệ luận điểm trọng tâm của luận án: thể chế không chỉ điều tiết độ lớn mà quy định cả dấu và dạng hình của quan hệ quốc tế hóa và hiệu quả, và tại cực trị thể chế, toàn bộ họ mô hình chữ U ngược ngừng áp dụng (điều kiện biên FIP).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62"/>
    <w:bookmarkStart w:id="271" w:name="Xff8cef3ed320f9cf6f3fba4ff558bfed3af19c6"/>
    <w:p>
      <w:pPr>
        <w:pStyle w:val="Heading2"/>
      </w:pPr>
      <w:r>
        <w:t xml:space="preserve">5.1 Bàn luận kết quả theo khung lý thuyết CDCM</w:t>
      </w:r>
    </w:p>
    <w:bookmarkStart w:id="263" w:name="X59bbe86bb1d3da1717dec30924f73547ba9a500"/>
    <w:p>
      <w:pPr>
        <w:pStyle w:val="Heading3"/>
      </w:pPr>
      <w:r>
        <w:t xml:space="preserve">5.1.1 Phổ ICRV: Xác nhận một phần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phổ thể chế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phổ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w:t>
      </w:r>
      <w:r>
        <w:t xml:space="preserve"> </w:t>
      </w:r>
      <w:r>
        <w:rPr>
          <w:bCs/>
          <w:b/>
        </w:rPr>
        <w:t xml:space="preserve">một phần</w:t>
      </w:r>
      <w:r>
        <w:t xml:space="preserve"> </w:t>
      </w:r>
      <w:r>
        <w:t xml:space="preserve">H5 và tầng thể chế của khung lý thuyết CDCM. Phần</w:t>
      </w:r>
      <w:r>
        <w:t xml:space="preserve"> </w:t>
      </w:r>
      <w:r>
        <w:rPr>
          <w:bCs/>
          <w:b/>
        </w:rPr>
        <w:t xml:space="preserve">lõi</w:t>
      </w:r>
      <w:r>
        <w:t xml:space="preserve"> </w:t>
      </w:r>
      <w:r>
        <w:t xml:space="preserve">của H5 được xác nhận vững từ hai nguồn độc lập: chế độ thể chế quyết định không chỉ một biến điều tiết đơn lẻ mà là</w:t>
      </w:r>
      <w:r>
        <w:t xml:space="preserve"> </w:t>
      </w:r>
      <w:r>
        <w:rPr>
          <w:bCs/>
          <w:b/>
        </w:rPr>
        <w:t xml:space="preserve">cả một chế độ thể chế</w:t>
      </w:r>
      <w:r>
        <w:t xml:space="preserve"> </w:t>
      </w:r>
      <w:r>
        <w:t xml:space="preserve">chi phối sự tồn tại và vị trí của dạng hàm chữ U ngược (kiểm định tổng thể</w:t>
      </w:r>
      <w:r>
        <w:t xml:space="preserve"> </w:t>
      </w:r>
      <m:oMath>
        <m:sSub>
          <m:e>
            <m:r>
              <m:t>Q</m:t>
            </m:r>
          </m:e>
          <m:sub>
            <m:r>
              <m:t>M</m:t>
            </m:r>
          </m:sub>
        </m:sSub>
        <m:r>
          <m:rPr>
            <m:sty m:val="p"/>
          </m:rPr>
          <m:t>=</m:t>
        </m:r>
        <m:r>
          <m:t>17</m:t>
        </m:r>
        <m:r>
          <m:rPr>
            <m:sty m:val="p"/>
          </m:rPr>
          <m:t>,</m:t>
        </m:r>
        <m:r>
          <m:t>35</m:t>
        </m:r>
      </m:oMath>
      <w:r>
        <w:t xml:space="preserve"> </w:t>
      </w:r>
      <w:r>
        <w:t xml:space="preserve">của P6; phổ điểm uốn theo ICRV của P7). Tuy nhiên,</w:t>
      </w:r>
      <w:r>
        <w:t xml:space="preserve"> </w:t>
      </w:r>
      <w:r>
        <w:rPr>
          <w:bCs/>
          <w:b/>
        </w:rPr>
        <w:t xml:space="preserve">định hướng phổ thể chế đơn điệu</w:t>
      </w:r>
      <w:r>
        <w:t xml:space="preserve"> </w:t>
      </w:r>
      <w:r>
        <w:t xml:space="preserve">như H5 phát biểu (tác động mạnh nhất ở nhóm thể chế yếu, giảm dần đến nhóm tiên tiến — vận hành hóa thành mệnh đề thăm dò E1a/E1b)</w:t>
      </w:r>
      <w:r>
        <w:t xml:space="preserve"> </w:t>
      </w:r>
      <w:r>
        <w:rPr>
          <w:bCs/>
          <w:b/>
        </w:rPr>
        <w:t xml:space="preserve">chưa được xác nhận</w:t>
      </w:r>
      <w:r>
        <w:t xml:space="preserve">: ở P6, ý nghĩa của</w:t>
      </w:r>
      <w:r>
        <w:t xml:space="preserve"> </w:t>
      </w:r>
      <m:oMath>
        <m:sSub>
          <m:e>
            <m:r>
              <m:t>Q</m:t>
            </m:r>
          </m:e>
          <m:sub>
            <m:r>
              <m:t>M</m:t>
            </m:r>
          </m:sub>
        </m:sSub>
      </m:oMath>
      <w:r>
        <w:t xml:space="preserve"> </w:t>
      </w:r>
      <w:r>
        <w:t xml:space="preserve">bị chi phối bởi nhóm Frontier</w:t>
      </w:r>
      <w:r>
        <w:t xml:space="preserve"> </w:t>
      </w:r>
      <m:oMath>
        <m:r>
          <m:t>k</m:t>
        </m:r>
        <m:r>
          <m:rPr>
            <m:sty m:val="p"/>
          </m:rPr>
          <m:t>=</m:t>
        </m:r>
        <m:r>
          <m:t>3</m:t>
        </m:r>
      </m:oMath>
      <w:r>
        <w:t xml:space="preserve"> </w:t>
      </w:r>
      <w:r>
        <w:t xml:space="preserve">(một nghiên cứu ngoại lai chi phối), còn các tương phản giữa các nhóm đông quan sát (I, II, III, MX) đều không có ý nghĩa; ở P7, gradient thực nghiệm mang dạng</w:t>
      </w:r>
      <w:r>
        <w:t xml:space="preserve"> </w:t>
      </w:r>
      <w:r>
        <w:rPr>
          <w:bCs/>
          <w:b/>
        </w:rPr>
        <w:t xml:space="preserve">ba vùng phi đơn điệu</w:t>
      </w:r>
      <w:r>
        <w:t xml:space="preserve"> </w:t>
      </w:r>
      <w:r>
        <w:t xml:space="preserve">(chữ U ngược sắc nét ở vùng giữa, duỗi thẳng ở biên trên, mất cấu trúc ở biên dưới) chứ không phải một dốc đơn điệu. Cụ thể hơn, bằng chứng xác nhận rằng thể chế</w:t>
      </w:r>
      <w:r>
        <w:t xml:space="preserve"> </w:t>
      </w:r>
      <w:r>
        <w:rPr>
          <w:iCs/>
          <w:i/>
        </w:rPr>
        <w:t xml:space="preserve">định hình</w:t>
      </w:r>
      <w:r>
        <w:t xml:space="preserve"> </w:t>
      </w:r>
      <w:r>
        <w:t xml:space="preserve">dạng quan hệ, nhưng</w:t>
      </w:r>
      <w:r>
        <w:t xml:space="preserve"> </w:t>
      </w:r>
      <w:r>
        <w:rPr>
          <w:iCs/>
          <w:i/>
        </w:rPr>
        <w:t xml:space="preserve">chiều</w:t>
      </w:r>
      <w:r>
        <w:t xml:space="preserve"> </w:t>
      </w:r>
      <w:r>
        <w:t xml:space="preserve">của phổ thể chế phong phú hơn giả thuyết đơn điệu ban đầu — một tinh chỉnh lý thuyết hơn là một bác bỏ. Lý thuyết thể chế của North (1990) và Khanna và Palepu (2010) dự đoán rằng thể chế định hình chi phí giao dịch và cấu trúc khuyến khích; kết quả ICRV phổ thể chế là biểu hiện thực nghiệm của cơ chế này ở quy mô 50 nền kinh tế châu Á và Thái Bình Dương (P7).</w:t>
      </w:r>
    </w:p>
    <w:p>
      <w:pPr>
        <w:pStyle w:val="BodyText"/>
      </w:pPr>
      <w:r>
        <w:t xml:space="preserve">Về mặt lý thuyết, phổ thể chế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phổ thể chế: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63"/>
    <w:bookmarkStart w:id="264" w:name="X09a4922d1c0cba8acfc2d36ce447b46819a36c1"/>
    <w:p>
      <w:pPr>
        <w:pStyle w:val="Heading3"/>
      </w:pPr>
      <w:r>
        <w:t xml:space="preserve">5.1.2 TCI là năng lực nền tảng: Xác nhận một phần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định hình lại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64"/>
    <w:bookmarkStart w:id="265"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Bậc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Bậc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Bậc 1 DAI (website, email, online sales) chưa nắm bắt được chiều sâu của năng lực số. Khi DAI được đo bằng Bậc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65"/>
    <w:bookmarkStart w:id="266"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(bề rộng so với chiều sâu, breadth vs. depth), một hạn chế đo lường trong WBES cần được khắc phục trong nghiên cứu tương lai.</w:t>
      </w:r>
    </w:p>
    <w:bookmarkEnd w:id="266"/>
    <w:bookmarkStart w:id="267"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hoạt động kinh doanh của doanh nghiệp.</w:t>
      </w:r>
    </w:p>
    <w:p>
      <w:pPr>
        <w:pStyle w:val="BodyText"/>
      </w:pPr>
      <w:r>
        <w:t xml:space="preserve">Phát hiện vững trên mẫu đầy đủ bảy nền đảo nhỏ Thái Bình Dương (</w:t>
      </w:r>
      <m:oMath>
        <m:r>
          <m:t>N</m:t>
        </m:r>
        <m:r>
          <m:rPr>
            <m:sty m:val="p"/>
          </m:rPr>
          <m:t>=</m:t>
        </m:r>
        <m:r>
          <m:t>1.450</m:t>
        </m:r>
      </m:oMath>
      <w:r>
        <w:t xml:space="preserve">) là</w:t>
      </w:r>
      <w:r>
        <w:t xml:space="preserve"> </w:t>
      </w:r>
      <w:r>
        <w:rPr>
          <w:bCs/>
          <w:b/>
        </w:rPr>
        <w:t xml:space="preserve">việc dạng chữ U ngược mất cấu trúc</w:t>
      </w:r>
      <w:r>
        <w:t xml:space="preserve"> </w:t>
      </w:r>
      <w:r>
        <w:t xml:space="preserve">(độ dốc không có ý nghĩa và độ cong chỉ đạt mức biên), tương phản sắc nét với chữ U ngược của lục địa; FIP được hiểu như</w:t>
      </w:r>
      <w:r>
        <w:t xml:space="preserve"> </w:t>
      </w:r>
      <w:r>
        <w:rPr>
          <w:bCs/>
          <w:b/>
        </w:rPr>
        <w:t xml:space="preserve">trường hợp giới hạn lý thuyết</w:t>
      </w:r>
      <w:r>
        <w:t xml:space="preserve"> </w:t>
      </w:r>
      <w:r>
        <w:t xml:space="preserve">của sự mất cấu trúc này, tức chiều hướng mà quan hệ nghiêng về khi quốc tế hóa cưỡng bức chi phối hoàn toàn, chứ không phải một quan hệ âm đơn điệu đã được ước lượng vững. Dù theo hướng giới hạn hay theo bằng chứng mất cấu trúc, hàm ý chung là không có mức FSTS nào mà doanh nghiệp SIDS có thể tận dụng để cải thiện hiệu quả thông qua xuất khẩu trong điều kiện hiện tại. Đây là ranh giới biên lý thuyết quan trọng cho các mô hình phi tuyến phổ quát trong tài liệu về quan hệ quốc tế hóa và hiệu quả.</w:t>
      </w:r>
    </w:p>
    <w:p>
      <w:r>
        <w:pict>
          <v:rect style="width:0;height:1.5pt" o:hralign="center" o:hrstd="t" o:hr="t"/>
        </w:pict>
      </w:r>
    </w:p>
    <w:bookmarkEnd w:id="267"/>
    <w:bookmarkStart w:id="268"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Bậc 2 thay thế Bậc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pPr>
        <w:pStyle w:val="BodyText"/>
      </w:pPr>
      <w:r>
        <w:t xml:space="preserve">Đặt trường hợp Ấn Độ cạnh hai bối cảnh chuyển đổi khác làm rõ kết luận về</w:t>
      </w:r>
      <w:r>
        <w:t xml:space="preserve"> </w:t>
      </w:r>
      <w:r>
        <w:rPr>
          <w:bCs/>
          <w:b/>
        </w:rPr>
        <w:t xml:space="preserve">dị biệt thời gian (H6)</w:t>
      </w:r>
      <w:r>
        <w:t xml:space="preserve">, vốn được kiểm định trực tiếp ở P5 và P3: tại Trung Quốc, điểm uốn ổn định giữa hai đợt 2012–2024 (kiểm định Paternoster không bác bỏ tính bằng nhau,</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trong khi tại Việt Nam điểm uốn dịch chuyển có ý nghĩa giữa 2009 và 2015. H6 do đó</w:t>
      </w:r>
      <w:r>
        <w:t xml:space="preserve"> </w:t>
      </w:r>
      <w:r>
        <w:rPr>
          <w:bCs/>
          <w:b/>
        </w:rPr>
        <w:t xml:space="preserve">không được xác nhận như một xu hướng thời gian đơn điệu</w:t>
      </w:r>
      <w:r>
        <w:t xml:space="preserve">, mà được tinh chỉnh thành một mệnh đề có điều kiện: dạng hàm quốc tế hóa–hiệu quả chỉ dịch chuyển (Việt Nam) hoặc mất cấu trúc (Ấn Độ 2025) khi tốc độ và biên độ thay đổi thể chế đủ lớn, còn giữ ổn định khi thể chế trưởng thành có trật tự (Trung Quốc) — nhất quán với cách đọc rằng thời gian tự nó không phải biến điều tiết, mà là vận tốc biến động thể chế tích lũy.</w:t>
      </w:r>
    </w:p>
    <w:p>
      <w:r>
        <w:pict>
          <v:rect style="width:0;height:1.5pt" o:hralign="center" o:hrstd="t" o:hr="t"/>
        </w:pict>
      </w:r>
    </w:p>
    <w:bookmarkEnd w:id="268"/>
    <w:bookmarkStart w:id="269" w:name="Xa3158dd5136100cab093ef0569110b9c1bb5fc2"/>
    <w:p>
      <w:pPr>
        <w:pStyle w:val="Heading3"/>
      </w:pPr>
      <w:r>
        <w:t xml:space="preserve">5.1.7 Tích hợp ba vùng của phổ thể chế: từ chữ U ngược đến mất cấu trúc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phổ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phổ thể chế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mô hình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phổ thể chế (chế độ đang nổi và đảo nhỏ, Nhóm V và VI), quan hệ mất cấu trúc theo hai mức độ khác nhau. Tại Nhóm V, các hệ số không còn ý nghĩa thống kê và dạng hàm mất cấu trúc (P7). Tại Nhóm VI là các nền kinh tế đảo nhỏ, phát hiện vững là dạng chữ U ngược</w:t>
      </w:r>
      <w:r>
        <w:t xml:space="preserve"> </w:t>
      </w:r>
      <w:r>
        <w:rPr>
          <w:bCs/>
          <w:b/>
        </w:rPr>
        <w:t xml:space="preserve">mất cấu trúc</w:t>
      </w:r>
      <w:r>
        <w:t xml:space="preserve"> </w:t>
      </w:r>
      <w:r>
        <w:t xml:space="preserve">(độ dốc không có ý nghĩa và độ cong chỉ đạt mức biên trên mẫu đầy đủ bảy nền Thái Bình Dương),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phổ thể chế. Bằng chứng Việt Nam (P3) cho thấy độ cong toàn mẫu trong chế độ chuyển đổi được nhận diện chủ yếu qua biên tham gia, tức bước nhảy năng suất khi doanh nghiệp chuyển từ không xuất khẩu sang xuất khẩu (biên tham gia), chứ không qua độ cong cường độ trong nhóm doanh nghiệp đã xuất khẩu (biên cường độ);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69"/>
    <w:bookmarkStart w:id="270" w:name="X08dece717898d5afcbb01edbe9ac6531a983c78"/>
    <w:p>
      <w:pPr>
        <w:pStyle w:val="Heading3"/>
      </w:pPr>
      <w:r>
        <w:t xml:space="preserve">5.1.8 Sợi chỉ vàng: truy vết tích hợp từ câu hỏi nghiên cứu đến đóng góp lý thuyết</w:t>
      </w:r>
    </w:p>
    <w:p>
      <w:pPr>
        <w:pStyle w:val="FirstParagraph"/>
      </w:pPr>
      <w:r>
        <w:t xml:space="preserve">Để làm rõ rằng luận án là</w:t>
      </w:r>
      <w:r>
        <w:t xml:space="preserve"> </w:t>
      </w:r>
      <w:r>
        <w:rPr>
          <w:bCs/>
          <w:b/>
        </w:rPr>
        <w:t xml:space="preserve">một lập luận tích hợp duy nhất</w:t>
      </w:r>
      <w:r>
        <w:t xml:space="preserve"> </w:t>
      </w:r>
      <w:r>
        <w:t xml:space="preserve">chứ không phải tập hợp rời rạc các nghiên cứu thành phần, Bảng 5.1 truy vết</w:t>
      </w:r>
      <w:r>
        <w:t xml:space="preserve"> </w:t>
      </w:r>
      <w:r>
        <w:t xml:space="preserve">“</w:t>
      </w:r>
      <w:r>
        <w:t xml:space="preserve">sợi chỉ vàng</w:t>
      </w:r>
      <w:r>
        <w:t xml:space="preserve">”</w:t>
      </w:r>
      <w:r>
        <w:t xml:space="preserve"> </w:t>
      </w:r>
      <w:r>
        <w:t xml:space="preserve">xuyên suốt: mỗi câu hỏi nghiên cứu được trả lời bằng những nghiên cứu thành phần cụ thể, kiểm định những giả thuyết xác định, cho ra những phát hiện thực nghiệm có thể đối chiếu, và cùng hội tụ về một đóng góp lý thuyết của khung CDCM–ICRV–FIP. Bảng đọc theo chiều ngang cho thấy tính nhất quán nội tại của từng mắt xích; đọc theo chiều dọc cho thấy cách các mảnh bằng chứng độc lập bồi đắp lẫn nhau thành một tuyên bố thống nhất.</w:t>
      </w:r>
    </w:p>
    <w:p>
      <w:pPr>
        <w:pStyle w:val="BodyText"/>
      </w:pPr>
      <w:r>
        <w:rPr>
          <w:bCs/>
          <w:b/>
        </w:rPr>
        <w:t xml:space="preserve">Bảng 5.1.</w:t>
      </w:r>
      <w:r>
        <w:t xml:space="preserve"> </w:t>
      </w:r>
      <w:r>
        <w:rPr>
          <w:iCs/>
          <w:i/>
        </w:rPr>
        <w:t xml:space="preserve">Sợi chỉ vàng tích hợp: câu hỏi nghiên cứu → nghiên cứu thành phần → giả thuyết → phát hiện thực nghiệm chủ chốt → đóng góp lý thuyết.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RQ</w:t>
            </w:r>
          </w:p>
        </w:tc>
        <w:tc>
          <w:tcPr/>
          <w:p>
            <w:pPr>
              <w:pStyle w:val="Compact"/>
              <w:jc w:val="left"/>
            </w:pPr>
            <w:r>
              <w:t xml:space="preserve">Nghiên cứu (nhóm ICRV)</w:t>
            </w:r>
          </w:p>
        </w:tc>
        <w:tc>
          <w:tcPr/>
          <w:p>
            <w:pPr>
              <w:pStyle w:val="Compact"/>
              <w:jc w:val="left"/>
            </w:pPr>
            <w:r>
              <w:t xml:space="preserve">Giả thuyết</w:t>
            </w:r>
          </w:p>
        </w:tc>
        <w:tc>
          <w:tcPr/>
          <w:p>
            <w:pPr>
              <w:pStyle w:val="Compact"/>
              <w:jc w:val="left"/>
            </w:pPr>
            <w:r>
              <w:t xml:space="preserve">Phát hiện thực nghiệm chủ chốt</w:t>
            </w:r>
          </w:p>
        </w:tc>
        <w:tc>
          <w:tcPr/>
          <w:p>
            <w:pPr>
              <w:pStyle w:val="Compact"/>
              <w:jc w:val="left"/>
            </w:pPr>
            <w:r>
              <w:t xml:space="preserve">Đóng góp lý thuyết</w:t>
            </w:r>
          </w:p>
        </w:tc>
      </w:tr>
      <w:tr>
        <w:tc>
          <w:tcPr/>
          <w:p>
            <w:pPr>
              <w:pStyle w:val="Compact"/>
              <w:jc w:val="left"/>
            </w:pPr>
            <w:r>
              <w:t xml:space="preserve">Cơ sở</w:t>
            </w:r>
          </w:p>
        </w:tc>
        <w:tc>
          <w:tcPr/>
          <w:p>
            <w:pPr>
              <w:pStyle w:val="Compact"/>
              <w:jc w:val="left"/>
            </w:pPr>
            <w:r>
              <w:t xml:space="preserve">P1 — Cơ sở đa quốc gia 17 nền (</w:t>
            </w:r>
            <m:oMath>
              <m:r>
                <m:t>N</m:t>
              </m:r>
              <m:r>
                <m:rPr>
                  <m:sty m:val="p"/>
                </m:rPr>
                <m:t>=</m:t>
              </m:r>
              <m:r>
                <m:t>40.633</m:t>
              </m:r>
            </m:oMath>
            <w:r>
              <w:t xml:space="preserve">)</w:t>
            </w:r>
          </w:p>
        </w:tc>
        <w:tc>
          <w:tcPr/>
          <w:p>
            <w:pPr>
              <w:pStyle w:val="Compact"/>
              <w:jc w:val="left"/>
            </w:pPr>
            <w:r>
              <w:t xml:space="preserve">Nền tảng (CDCM)</w:t>
            </w:r>
          </w:p>
        </w:tc>
        <w:tc>
          <w:tcPr/>
          <w:p>
            <w:pPr>
              <w:pStyle w:val="Compact"/>
              <w:jc w:val="left"/>
            </w:pPr>
            <w:r>
              <w:t xml:space="preserve">Phân tầng năng suất theo vùng;</w:t>
            </w:r>
            <w:r>
              <w:t xml:space="preserve"> </w:t>
            </w:r>
            <w:r>
              <w:rPr>
                <w:bCs/>
                <w:b/>
              </w:rPr>
              <w:t xml:space="preserve">hiệu ứng lá chắn số</w:t>
            </w:r>
            <w:r>
              <w:t xml:space="preserve"> </w:t>
            </w:r>
            <w:r>
              <w:t xml:space="preserve">(rào cản ×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w:t>
            </w:r>
          </w:p>
        </w:tc>
        <w:tc>
          <w:tcPr/>
          <w:p>
            <w:pPr>
              <w:pStyle w:val="Compact"/>
              <w:jc w:val="left"/>
            </w:pPr>
            <w:r>
              <w:t xml:space="preserve">Đặt nền cho khung CDCM; nguồn gốc</w:t>
            </w:r>
            <w:r>
              <w:t xml:space="preserve"> </w:t>
            </w:r>
            <w:r>
              <w:t xml:space="preserve">“</w:t>
            </w:r>
            <w:r>
              <w:t xml:space="preserve">lá chắn số</w:t>
            </w:r>
            <w:r>
              <w:t xml:space="preserve">”</w:t>
            </w:r>
            <w:r>
              <w:t xml:space="preserve"> </w:t>
            </w:r>
            <w:r>
              <w:t xml:space="preserve">mà P7 mở rộng ra 50 nền</w:t>
            </w:r>
          </w:p>
        </w:tc>
      </w:tr>
      <w:tr>
        <w:tc>
          <w:tcPr/>
          <w:p>
            <w:pPr>
              <w:pStyle w:val="Compact"/>
              <w:jc w:val="left"/>
            </w:pPr>
            <w:r>
              <w:t xml:space="preserve">RQ1</w:t>
            </w:r>
          </w:p>
        </w:tc>
        <w:tc>
          <w:tcPr/>
          <w:p>
            <w:pPr>
              <w:pStyle w:val="Compact"/>
              <w:jc w:val="left"/>
            </w:pPr>
            <w:r>
              <w:t xml:space="preserve">P6 — Phân tích tổng hợp toàn cầu</w:t>
            </w:r>
          </w:p>
        </w:tc>
        <w:tc>
          <w:tcPr/>
          <w:p>
            <w:pPr>
              <w:pStyle w:val="Compact"/>
              <w:jc w:val="left"/>
            </w:pPr>
            <w:r>
              <w:t xml:space="preserve">H1, H5</w:t>
            </w:r>
          </w:p>
        </w:tc>
        <w:tc>
          <w:tcPr/>
          <w:p>
            <w:pPr>
              <w:pStyle w:val="Compact"/>
              <w:jc w:val="left"/>
            </w:pPr>
            <m:oMath>
              <m:r>
                <m:t>k</m:t>
              </m:r>
              <m:r>
                <m:rPr>
                  <m:sty m:val="p"/>
                </m:rPr>
                <m:t>=</m:t>
              </m:r>
              <m:r>
                <m:t>238</m:t>
              </m:r>
            </m:oMath>
            <w:r>
              <w:t xml:space="preserve">; hiệu ứng dương nhỏ</w:t>
            </w:r>
            <w:r>
              <w:t xml:space="preserve"> </w:t>
            </w:r>
            <m:oMath>
              <m:acc>
                <m:accPr>
                  <m:chr m:val="‾"/>
                </m:accPr>
                <m:e>
                  <m:r>
                    <m:t>r</m:t>
                  </m:r>
                </m:e>
              </m:acc>
              <m:r>
                <m:rPr>
                  <m:sty m:val="p"/>
                </m:rPr>
                <m:t>=</m:t>
              </m:r>
              <m:r>
                <m:t>0</m:t>
              </m:r>
              <m:r>
                <m:rPr>
                  <m:sty m:val="p"/>
                </m:rPr>
                <m:t>,</m:t>
              </m:r>
              <m:r>
                <m:t>074</m:t>
              </m:r>
            </m:oMath>
            <w:r>
              <w:t xml:space="preserve">; dị biệt cao</w:t>
            </w:r>
            <w:r>
              <w:t xml:space="preserve"> </w:t>
            </w:r>
            <m:oMath>
              <m:sSup>
                <m:e>
                  <m:r>
                    <m:t>I</m:t>
                  </m:r>
                </m:e>
                <m:sup>
                  <m:r>
                    <m:t>2</m:t>
                  </m:r>
                </m:sup>
              </m:sSup>
              <m:r>
                <m:rPr>
                  <m:sty m:val="p"/>
                </m:rPr>
                <m:t>=</m:t>
              </m:r>
              <m:r>
                <m:t>62</m:t>
              </m:r>
              <m:r>
                <m:rPr>
                  <m:sty m:val="p"/>
                </m:rPr>
                <m:t>,</m:t>
              </m:r>
              <m:r>
                <m:t>4</m:t>
              </m:r>
              <m:r>
                <m:rPr>
                  <m:sty m:val="p"/>
                </m:rPr>
                <m:t>%</m:t>
              </m:r>
            </m:oMath>
            <w:r>
              <w:t xml:space="preserve">; thể chế điều tiết</w:t>
            </w:r>
            <w:r>
              <w:t xml:space="preserve"> </w:t>
            </w:r>
            <m:oMath>
              <m:sSub>
                <m:e>
                  <m:r>
                    <m:t>Q</m:t>
                  </m:r>
                </m:e>
                <m:sub>
                  <m:r>
                    <m:t>M</m:t>
                  </m:r>
                </m:sub>
              </m:sSub>
              <m:r>
                <m:rPr>
                  <m:sty m:val="p"/>
                </m:rPr>
                <m:t>=</m:t>
              </m:r>
              <m:r>
                <m:t>17</m:t>
              </m:r>
              <m:r>
                <m:rPr>
                  <m:sty m:val="p"/>
                </m:rPr>
                <m:t>,</m:t>
              </m:r>
              <m:r>
                <m:t>35</m:t>
              </m:r>
            </m:oMath>
            <w:r>
              <w:t xml:space="preserve"> </w:t>
            </w:r>
            <w:r>
              <w:t xml:space="preserve">(</w:t>
            </w:r>
            <m:oMath>
              <m:r>
                <m:t>p</m:t>
              </m:r>
              <m:r>
                <m:rPr>
                  <m:sty m:val="p"/>
                </m:rPr>
                <m:t>=</m:t>
              </m:r>
              <m:r>
                <m:rPr>
                  <m:sty m:val="p"/>
                </m:rPr>
                <m:t>,</m:t>
              </m:r>
              <m:r>
                <m:t>002</m:t>
              </m:r>
            </m:oMath>
            <w:r>
              <w:t xml:space="preserve">)</w:t>
            </w:r>
          </w:p>
        </w:tc>
        <w:tc>
          <w:tcPr/>
          <w:p>
            <w:pPr>
              <w:pStyle w:val="Compact"/>
              <w:jc w:val="left"/>
            </w:pPr>
            <w:r>
              <w:t xml:space="preserve">Xác lập thực chứng rằng quan hệ I–P dương nhỏ nhưng</w:t>
            </w:r>
            <w:r>
              <w:t xml:space="preserve"> </w:t>
            </w:r>
            <w:r>
              <w:rPr>
                <w:bCs/>
                <w:b/>
              </w:rPr>
              <w:t xml:space="preserve">dị biệt do thể chế</w:t>
            </w:r>
            <w:r>
              <w:t xml:space="preserve"> </w:t>
            </w:r>
            <w:r>
              <w:t xml:space="preserve">— cơ sở cho trục ICRV</w:t>
            </w:r>
          </w:p>
        </w:tc>
      </w:tr>
      <w:tr>
        <w:tc>
          <w:tcPr/>
          <w:p>
            <w:pPr>
              <w:pStyle w:val="Compact"/>
              <w:jc w:val="left"/>
            </w:pPr>
            <w:r>
              <w:t xml:space="preserve">RQ2</w:t>
            </w:r>
          </w:p>
        </w:tc>
        <w:tc>
          <w:tcPr/>
          <w:p>
            <w:pPr>
              <w:pStyle w:val="Compact"/>
              <w:jc w:val="left"/>
            </w:pPr>
            <w:r>
              <w:t xml:space="preserve">P4 — Singapore (I)</w:t>
            </w:r>
          </w:p>
        </w:tc>
        <w:tc>
          <w:tcPr/>
          <w:p>
            <w:pPr>
              <w:pStyle w:val="Compact"/>
              <w:jc w:val="left"/>
            </w:pPr>
            <w:r>
              <w:t xml:space="preserve">H1, H3</w:t>
            </w:r>
          </w:p>
        </w:tc>
        <w:tc>
          <w:tcPr/>
          <w:p>
            <w:pPr>
              <w:pStyle w:val="Compact"/>
              <w:jc w:val="left"/>
            </w:pPr>
            <w:r>
              <w:t xml:space="preserve">Gần tuyến tính dương; điểm uốn ~88,6% (CI rộng, ngoài miền); DAI khuếch đại ở cường độ cao</w:t>
            </w:r>
          </w:p>
        </w:tc>
        <w:tc>
          <w:tcPr/>
          <w:p>
            <w:pPr>
              <w:pStyle w:val="Compact"/>
              <w:jc w:val="left"/>
            </w:pPr>
            <w:r>
              <w:t xml:space="preserve">Biên trên: đường cong</w:t>
            </w:r>
            <w:r>
              <w:t xml:space="preserve"> </w:t>
            </w:r>
            <w:r>
              <w:rPr>
                <w:bCs/>
                <w:b/>
              </w:rPr>
              <w:t xml:space="preserve">duỗi thẳng</w:t>
            </w:r>
            <w:r>
              <w:t xml:space="preserve"> </w:t>
            </w:r>
            <w:r>
              <w:t xml:space="preserve">khi đệm thể chế dày</w:t>
            </w:r>
          </w:p>
        </w:tc>
      </w:tr>
      <w:tr>
        <w:tc>
          <w:tcPr/>
          <w:p>
            <w:pPr>
              <w:pStyle w:val="Compact"/>
              <w:jc w:val="left"/>
            </w:pPr>
            <w:r>
              <w:t xml:space="preserve">RQ2</w:t>
            </w:r>
          </w:p>
        </w:tc>
        <w:tc>
          <w:tcPr/>
          <w:p>
            <w:pPr>
              <w:pStyle w:val="Compact"/>
              <w:jc w:val="left"/>
            </w:pPr>
            <w:r>
              <w:t xml:space="preserve">P3 — Việt Nam (IV)</w:t>
            </w:r>
          </w:p>
        </w:tc>
        <w:tc>
          <w:tcPr/>
          <w:p>
            <w:pPr>
              <w:pStyle w:val="Compact"/>
              <w:jc w:val="left"/>
            </w:pPr>
            <w:r>
              <w:t xml:space="preserve">H1, H2, H3</w:t>
            </w:r>
          </w:p>
        </w:tc>
        <w:tc>
          <w:tcPr/>
          <w:p>
            <w:pPr>
              <w:pStyle w:val="Compact"/>
              <w:jc w:val="left"/>
            </w:pPr>
            <w:r>
              <w:t xml:space="preserve">Chữ U ngược sắc nét, điểm uốn 39,3–46,2%; TCI điều tiết dương</w:t>
            </w:r>
          </w:p>
        </w:tc>
        <w:tc>
          <w:tcPr/>
          <w:p>
            <w:pPr>
              <w:pStyle w:val="Compact"/>
              <w:jc w:val="left"/>
            </w:pPr>
            <w:r>
              <w:t xml:space="preserve">Chế độ neo; phân biệt</w:t>
            </w:r>
            <w:r>
              <w:t xml:space="preserve"> </w:t>
            </w:r>
            <w:r>
              <w:rPr>
                <w:bCs/>
                <w:b/>
              </w:rPr>
              <w:t xml:space="preserve">biên tham gia</w:t>
            </w:r>
            <w:r>
              <w:t xml:space="preserve"> </w:t>
            </w:r>
            <w:r>
              <w:t xml:space="preserve">vs biên cường độ</w:t>
            </w:r>
          </w:p>
        </w:tc>
      </w:tr>
      <w:tr>
        <w:tc>
          <w:tcPr/>
          <w:p>
            <w:pPr>
              <w:pStyle w:val="Compact"/>
              <w:jc w:val="left"/>
            </w:pPr>
            <w:r>
              <w:t xml:space="preserve">RQ2</w:t>
            </w:r>
          </w:p>
        </w:tc>
        <w:tc>
          <w:tcPr/>
          <w:p>
            <w:pPr>
              <w:pStyle w:val="Compact"/>
              <w:jc w:val="left"/>
            </w:pPr>
            <w:r>
              <w:t xml:space="preserve">P5 — Trung Quốc 2012–2024 (III); P2 — DNVVN TQ</w:t>
            </w:r>
          </w:p>
        </w:tc>
        <w:tc>
          <w:tcPr/>
          <w:p>
            <w:pPr>
              <w:pStyle w:val="Compact"/>
              <w:jc w:val="left"/>
            </w:pPr>
            <w:r>
              <w:t xml:space="preserve">H1, H6</w:t>
            </w:r>
          </w:p>
        </w:tc>
        <w:tc>
          <w:tcPr/>
          <w:p>
            <w:pPr>
              <w:pStyle w:val="Compact"/>
              <w:jc w:val="left"/>
            </w:pPr>
            <w:r>
              <w:t xml:space="preserve">Điểm uốn ổn định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P2: 47,8%, bẫy vốn lưu động</w:t>
            </w:r>
          </w:p>
        </w:tc>
        <w:tc>
          <w:tcPr/>
          <w:p>
            <w:pPr>
              <w:pStyle w:val="Compact"/>
              <w:jc w:val="left"/>
            </w:pPr>
            <w:r>
              <w:rPr>
                <w:bCs/>
                <w:b/>
              </w:rPr>
              <w:t xml:space="preserve">Tính bền thời gian</w:t>
            </w:r>
            <w:r>
              <w:t xml:space="preserve"> </w:t>
            </w:r>
            <w:r>
              <w:t xml:space="preserve">của điểm uốn qua một thập kỷ</w:t>
            </w:r>
          </w:p>
        </w:tc>
      </w:tr>
      <w:tr>
        <w:tc>
          <w:tcPr/>
          <w:p>
            <w:pPr>
              <w:pStyle w:val="Compact"/>
              <w:jc w:val="left"/>
            </w:pPr>
            <w:r>
              <w:t xml:space="preserve">RQ3</w:t>
            </w:r>
          </w:p>
        </w:tc>
        <w:tc>
          <w:tcPr/>
          <w:p>
            <w:pPr>
              <w:pStyle w:val="Compact"/>
              <w:jc w:val="left"/>
            </w:pPr>
            <w:r>
              <w:t xml:space="preserve">P7 — Toàn mẫu 50 nền</w:t>
            </w:r>
          </w:p>
        </w:tc>
        <w:tc>
          <w:tcPr/>
          <w:p>
            <w:pPr>
              <w:pStyle w:val="Compact"/>
              <w:jc w:val="left"/>
            </w:pPr>
            <w:r>
              <w:t xml:space="preserve">H1, H2, H3, H5</w:t>
            </w:r>
          </w:p>
        </w:tc>
        <w:tc>
          <w:tcPr/>
          <w:p>
            <w:pPr>
              <w:pStyle w:val="Compact"/>
              <w:jc w:val="left"/>
            </w:pPr>
            <m:oMath>
              <m:r>
                <m:t>N</m:t>
              </m:r>
              <m:r>
                <m:rPr>
                  <m:sty m:val="p"/>
                </m:rPr>
                <m:t>=</m:t>
              </m:r>
              <m:r>
                <m:t>81.022</m:t>
              </m:r>
              <m:r>
                <m:rPr>
                  <m:sty m:val="p"/>
                </m:rPr>
                <m:t>/</m:t>
              </m:r>
              <m:r>
                <m:t>79.080</m:t>
              </m:r>
            </m:oMath>
            <w:r>
              <w:t xml:space="preserve">; điểm uốn 43,6–51,5%; TCI</w:t>
            </w:r>
            <w:r>
              <w:t xml:space="preserve"> </w:t>
            </w:r>
            <m:oMath>
              <m:r>
                <m:rPr>
                  <m:sty m:val="p"/>
                </m:rPr>
                <m:t>+</m:t>
              </m:r>
              <m:r>
                <m:t>0</m:t>
              </m:r>
              <m:r>
                <m:rPr>
                  <m:sty m:val="p"/>
                </m:rPr>
                <m:t>,</m:t>
              </m:r>
              <m:r>
                <m:t>141</m:t>
              </m:r>
            </m:oMath>
            <w:r>
              <w:t xml:space="preserve">, DAI</w:t>
            </w:r>
            <w:r>
              <w:t xml:space="preserve"> </w:t>
            </w:r>
            <m:oMath>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nâng mặt bằng</w:t>
            </w:r>
          </w:p>
        </w:tc>
        <w:tc>
          <w:tcPr/>
          <w:p>
            <w:pPr>
              <w:pStyle w:val="Compact"/>
              <w:jc w:val="left"/>
            </w:pPr>
            <w:r>
              <w:t xml:space="preserve">Khái quát hóa CDCM; TCI/DAI là</w:t>
            </w:r>
            <w:r>
              <w:t xml:space="preserve"> </w:t>
            </w:r>
            <w:r>
              <w:rPr>
                <w:bCs/>
                <w:b/>
              </w:rPr>
              <w:t xml:space="preserve">bộ nâng mặt bằng phổ quát</w:t>
            </w:r>
            <w:r>
              <w:t xml:space="preserve">, không uốn đường cong</w:t>
            </w:r>
          </w:p>
        </w:tc>
      </w:tr>
      <w:tr>
        <w:tc>
          <w:tcPr/>
          <w:p>
            <w:pPr>
              <w:pStyle w:val="Compact"/>
              <w:jc w:val="left"/>
            </w:pPr>
            <w:r>
              <w:t xml:space="preserve">RQ3</w:t>
            </w:r>
          </w:p>
        </w:tc>
        <w:tc>
          <w:tcPr/>
          <w:p>
            <w:pPr>
              <w:pStyle w:val="Compact"/>
              <w:jc w:val="left"/>
            </w:pPr>
            <w:r>
              <w:t xml:space="preserve">P8 — Pacific SIDS (VI)</w:t>
            </w:r>
          </w:p>
        </w:tc>
        <w:tc>
          <w:tcPr/>
          <w:p>
            <w:pPr>
              <w:pStyle w:val="Compact"/>
              <w:jc w:val="left"/>
            </w:pPr>
            <w:r>
              <w:t xml:space="preserve">H1b</w:t>
            </w:r>
          </w:p>
        </w:tc>
        <w:tc>
          <w:tcPr/>
          <w:p>
            <w:pPr>
              <w:pStyle w:val="Compact"/>
              <w:jc w:val="left"/>
            </w:pPr>
            <w:r>
              <w:t xml:space="preserve">Mất cấu trúc: độ dốc</w:t>
            </w:r>
            <w:r>
              <w:t xml:space="preserve"> </w:t>
            </w:r>
            <m:oMath>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độ cong</w:t>
            </w:r>
            <w:r>
              <w:t xml:space="preserve"> </w:t>
            </w:r>
            <m:oMath>
              <m:r>
                <m:rPr>
                  <m:sty m:val="p"/>
                </m:rPr>
                <m:t>+</m:t>
              </m:r>
              <m:r>
                <m:t>0</m:t>
              </m:r>
              <m:r>
                <m:rPr>
                  <m:sty m:val="p"/>
                </m:rPr>
                <m:t>,</m:t>
              </m:r>
              <m:r>
                <m:t>696</m:t>
              </m:r>
            </m:oMath>
            <w:r>
              <w:t xml:space="preserve"> </w:t>
            </w:r>
            <w:r>
              <w:t xml:space="preserve">(</w:t>
            </w:r>
            <m:oMath>
              <m:sSub>
                <m:e>
                  <m:r>
                    <m:t>p</m:t>
                  </m:r>
                </m:e>
                <m:sub>
                  <m:r>
                    <m:rPr>
                      <m:nor/>
                      <m:sty m:val="p"/>
                    </m:rPr>
                    <m:t>wild</m:t>
                  </m:r>
                </m:sub>
              </m:sSub>
              <m:r>
                <m:rPr>
                  <m:sty m:val="p"/>
                </m:rPr>
                <m:t>=</m:t>
              </m:r>
              <m:r>
                <m:rPr>
                  <m:sty m:val="p"/>
                </m:rPr>
                <m:t>,</m:t>
              </m:r>
              <m:r>
                <m:t>082</m:t>
              </m:r>
            </m:oMath>
            <w:r>
              <w:t xml:space="preserve"> </w:t>
            </w:r>
            <w:r>
              <w:t xml:space="preserve">biên);</w:t>
            </w:r>
            <w:r>
              <w:t xml:space="preserve"> </w:t>
            </w:r>
            <m:oMath>
              <m:r>
                <m:t>N</m:t>
              </m:r>
              <m:r>
                <m:rPr>
                  <m:sty m:val="p"/>
                </m:rPr>
                <m:t>=</m:t>
              </m:r>
              <m:r>
                <m:t>1.450</m:t>
              </m:r>
            </m:oMath>
          </w:p>
        </w:tc>
        <w:tc>
          <w:tcPr/>
          <w:p>
            <w:pPr>
              <w:pStyle w:val="Compact"/>
              <w:jc w:val="left"/>
            </w:pPr>
            <w:r>
              <w:t xml:space="preserve">Định danh</w:t>
            </w:r>
            <w:r>
              <w:t xml:space="preserve"> </w:t>
            </w:r>
            <w:r>
              <w:rPr>
                <w:bCs/>
                <w:b/>
              </w:rPr>
              <w:t xml:space="preserve">FIP</w:t>
            </w:r>
            <w:r>
              <w:t xml:space="preserve"> </w:t>
            </w:r>
            <w:r>
              <w:t xml:space="preserve">— điều kiện biên cực trị của chữ U ngược</w:t>
            </w:r>
          </w:p>
        </w:tc>
      </w:tr>
      <w:tr>
        <w:tc>
          <w:tcPr/>
          <w:p>
            <w:pPr>
              <w:pStyle w:val="Compact"/>
              <w:jc w:val="left"/>
            </w:pPr>
            <w:r>
              <w:t xml:space="preserve">RQ4</w:t>
            </w:r>
          </w:p>
        </w:tc>
        <w:tc>
          <w:tcPr/>
          <w:p>
            <w:pPr>
              <w:pStyle w:val="Compact"/>
              <w:jc w:val="left"/>
            </w:pPr>
            <w:r>
              <w:t xml:space="preserve">P7 — Toàn phổ ICRV</w:t>
            </w:r>
          </w:p>
        </w:tc>
        <w:tc>
          <w:tcPr/>
          <w:p>
            <w:pPr>
              <w:pStyle w:val="Compact"/>
              <w:jc w:val="left"/>
            </w:pPr>
            <w:r>
              <w:t xml:space="preserve">H5</w:t>
            </w:r>
          </w:p>
        </w:tc>
        <w:tc>
          <w:tcPr/>
          <w:p>
            <w:pPr>
              <w:pStyle w:val="Compact"/>
              <w:jc w:val="left"/>
            </w:pPr>
            <w:r>
              <w:t xml:space="preserve">Điểm uốn dịch theo chế độ (Nhóm IV 43,0% → Nhóm I gần tuyến tính → Nhóm V/VI mất cấu trúc)</w:t>
            </w:r>
          </w:p>
        </w:tc>
        <w:tc>
          <w:tcPr/>
          <w:p>
            <w:pPr>
              <w:pStyle w:val="Compact"/>
              <w:jc w:val="left"/>
            </w:pPr>
            <w:r>
              <w:t xml:space="preserve">Thể chế điều tiết cả</w:t>
            </w:r>
            <w:r>
              <w:t xml:space="preserve"> </w:t>
            </w:r>
            <w:r>
              <w:rPr>
                <w:bCs/>
                <w:b/>
              </w:rPr>
              <w:t xml:space="preserve">dạng hàm</w:t>
            </w:r>
            <w:r>
              <w:t xml:space="preserve">, không chỉ độ lớn —</w:t>
            </w:r>
            <w:r>
              <w:t xml:space="preserve"> </w:t>
            </w:r>
            <w:r>
              <w:t xml:space="preserve">“</w:t>
            </w:r>
            <w:r>
              <w:t xml:space="preserve">có điều kiện theo bối cảnh</w:t>
            </w:r>
            <w:r>
              <w:t xml:space="preserve">”</w:t>
            </w:r>
          </w:p>
        </w:tc>
      </w:tr>
      <w:tr>
        <w:tc>
          <w:tcPr/>
          <w:p>
            <w:pPr>
              <w:pStyle w:val="Compact"/>
              <w:jc w:val="left"/>
            </w:pPr>
            <w:r>
              <w:t xml:space="preserve">RQ4</w:t>
            </w:r>
          </w:p>
        </w:tc>
        <w:tc>
          <w:tcPr/>
          <w:p>
            <w:pPr>
              <w:pStyle w:val="Compact"/>
              <w:jc w:val="left"/>
            </w:pPr>
            <w:r>
              <w:t xml:space="preserve">P9 — Ấn Độ 2014–2025 (IV)</w:t>
            </w:r>
          </w:p>
        </w:tc>
        <w:tc>
          <w:tcPr/>
          <w:p>
            <w:pPr>
              <w:pStyle w:val="Compact"/>
              <w:jc w:val="left"/>
            </w:pPr>
            <w:r>
              <w:t xml:space="preserve">H1c</w:t>
            </w:r>
          </w:p>
        </w:tc>
        <w:tc>
          <w:tcPr/>
          <w:p>
            <w:pPr>
              <w:pStyle w:val="Compact"/>
              <w:jc w:val="left"/>
            </w:pPr>
            <w:r>
              <w:rPr>
                <w:bCs/>
                <w:b/>
              </w:rPr>
              <w:t xml:space="preserve">Tan biến</w:t>
            </w:r>
            <w:r>
              <w:t xml:space="preserve"> </w:t>
            </w:r>
            <w:r>
              <w:t xml:space="preserve">điểm uốn: 61,8% (2014) → 40,7% (2022) →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w:t>
            </w:r>
          </w:p>
        </w:tc>
        <w:tc>
          <w:tcPr/>
          <w:p>
            <w:pPr>
              <w:pStyle w:val="Compact"/>
              <w:jc w:val="left"/>
            </w:pPr>
            <w:r>
              <w:t xml:space="preserve">Chuyển đổi thể chế cực mạnh</w:t>
            </w:r>
            <w:r>
              <w:t xml:space="preserve"> </w:t>
            </w:r>
            <w:r>
              <w:rPr>
                <w:bCs/>
                <w:b/>
              </w:rPr>
              <w:t xml:space="preserve">hòa tan</w:t>
            </w:r>
            <w:r>
              <w:t xml:space="preserve"> </w:t>
            </w:r>
            <w:r>
              <w:t xml:space="preserve">chứ không chỉ dịch ngưỡng (điều kiện biên thời gian)</w:t>
            </w:r>
          </w:p>
        </w:tc>
      </w:tr>
      <w:tr>
        <w:tc>
          <w:tcPr/>
          <w:p>
            <w:pPr>
              <w:pStyle w:val="Compact"/>
              <w:jc w:val="left"/>
            </w:pPr>
            <w:r>
              <w:t xml:space="preserve">RQ4</w:t>
            </w:r>
          </w:p>
        </w:tc>
        <w:tc>
          <w:tcPr/>
          <w:p>
            <w:pPr>
              <w:pStyle w:val="Compact"/>
              <w:jc w:val="left"/>
            </w:pPr>
            <w:r>
              <w:t xml:space="preserve">P10 — Nhật Bản 2025 (I)</w:t>
            </w:r>
          </w:p>
        </w:tc>
        <w:tc>
          <w:tcPr/>
          <w:p>
            <w:pPr>
              <w:pStyle w:val="Compact"/>
              <w:jc w:val="left"/>
            </w:pPr>
            <w:r>
              <w:t xml:space="preserve">H1 (biên trên)</w:t>
            </w:r>
          </w:p>
        </w:tc>
        <w:tc>
          <w:tcPr/>
          <w:p>
            <w:pPr>
              <w:pStyle w:val="Compact"/>
              <w:jc w:val="left"/>
            </w:pPr>
            <w:r>
              <w:t xml:space="preserve">Gần tuyến tính dương, điểm uốn ngoài miền; phần bù xuất khẩu 25,8%</w:t>
            </w:r>
          </w:p>
        </w:tc>
        <w:tc>
          <w:tcPr/>
          <w:p>
            <w:pPr>
              <w:pStyle w:val="Compact"/>
              <w:jc w:val="left"/>
            </w:pPr>
            <w:r>
              <w:t xml:space="preserve">Xác nhận</w:t>
            </w:r>
            <w:r>
              <w:t xml:space="preserve"> </w:t>
            </w:r>
            <w:r>
              <w:rPr>
                <w:bCs/>
                <w:b/>
              </w:rPr>
              <w:t xml:space="preserve">dự đoán biên trên</w:t>
            </w:r>
            <w:r>
              <w:t xml:space="preserve">; cơ chế biên tham gia (Melitz, 2003)</w:t>
            </w:r>
          </w:p>
        </w:tc>
      </w:tr>
      <w:tr>
        <w:tc>
          <w:tcPr/>
          <w:p>
            <w:pPr>
              <w:pStyle w:val="Compact"/>
              <w:jc w:val="left"/>
            </w:pPr>
            <w:r>
              <w:t xml:space="preserve">RQ4</w:t>
            </w:r>
          </w:p>
        </w:tc>
        <w:tc>
          <w:tcPr/>
          <w:p>
            <w:pPr>
              <w:pStyle w:val="Compact"/>
              <w:jc w:val="left"/>
            </w:pPr>
            <w:r>
              <w:t xml:space="preserve">Chương sách — Ấn Độ, quản trị (IV)</w:t>
            </w:r>
          </w:p>
        </w:tc>
        <w:tc>
          <w:tcPr/>
          <w:p>
            <w:pPr>
              <w:pStyle w:val="Compact"/>
              <w:jc w:val="left"/>
            </w:pPr>
            <w:r>
              <w:t xml:space="preserve">H4</w:t>
            </w:r>
          </w:p>
        </w:tc>
        <w:tc>
          <w:tcPr/>
          <w:p>
            <w:pPr>
              <w:pStyle w:val="Compact"/>
              <w:jc w:val="left"/>
            </w:pPr>
            <w:r>
              <w:t xml:space="preserve">ROS: kinh nghiệm</w:t>
            </w:r>
            <w:r>
              <w:t xml:space="preserve"> </w:t>
            </w:r>
            <m:oMath>
              <m:r>
                <m:rPr>
                  <m:sty m:val="p"/>
                </m:rPr>
                <m:t>+</m:t>
              </m:r>
              <m:r>
                <m:t>1</m:t>
              </m:r>
              <m:r>
                <m:rPr>
                  <m:sty m:val="p"/>
                </m:rPr>
                <m:t>,</m:t>
              </m:r>
              <m:r>
                <m:t>55</m:t>
              </m:r>
            </m:oMath>
            <w:r>
              <w:t xml:space="preserve">, lãnh đạo nữ</w:t>
            </w:r>
            <w:r>
              <w:t xml:space="preserve"> </w:t>
            </w:r>
            <m:oMath>
              <m:r>
                <m:rPr>
                  <m:sty m:val="p"/>
                </m:rPr>
                <m:t>+</m:t>
              </m:r>
              <m:r>
                <m:t>77</m:t>
              </m:r>
              <m:r>
                <m:rPr>
                  <m:sty m:val="p"/>
                </m:rPr>
                <m:t>,</m:t>
              </m:r>
              <m:r>
                <m:t>03</m:t>
              </m:r>
            </m:oMath>
            <w:r>
              <w:t xml:space="preserve"> </w:t>
            </w:r>
            <w:r>
              <w:t xml:space="preserve">điều tiết dương (</w:t>
            </w:r>
            <m:oMath>
              <m:r>
                <m:t>N</m:t>
              </m:r>
              <m:r>
                <m:rPr>
                  <m:sty m:val="p"/>
                </m:rPr>
                <m:t>=</m:t>
              </m:r>
              <m:r>
                <m:t>380</m:t>
              </m:r>
            </m:oMath>
            <w:r>
              <w:t xml:space="preserve">)</w:t>
            </w:r>
          </w:p>
        </w:tc>
        <w:tc>
          <w:tcPr/>
          <w:p>
            <w:pPr>
              <w:pStyle w:val="Compact"/>
              <w:jc w:val="left"/>
            </w:pPr>
            <w:r>
              <w:t xml:space="preserve">Bằng chứng đơn quốc gia cho</w:t>
            </w:r>
            <w:r>
              <w:t xml:space="preserve"> </w:t>
            </w:r>
            <w:r>
              <w:rPr>
                <w:bCs/>
                <w:b/>
              </w:rPr>
              <w:t xml:space="preserve">tầng quản trị</w:t>
            </w:r>
            <w:r>
              <w:t xml:space="preserve"> </w:t>
            </w:r>
            <w:r>
              <w:t xml:space="preserve">của CDCM</w:t>
            </w:r>
          </w:p>
        </w:tc>
      </w:tr>
    </w:tbl>
    <w:p>
      <w:pPr>
        <w:pStyle w:val="BodyText"/>
      </w:pPr>
      <w:r>
        <w:rPr>
          <w:iCs/>
          <w:i/>
        </w:rPr>
        <w:t xml:space="preserve">Ghi chú: Các con số trích nguyên từ Mục 5.6.1 và các mục kết quả tương ứng (Mục 4.2–4.9). Nhóm ICRV: I = tiên tiến đổi mới; III = trung bình cao; IV = chuyển đổi thu nhập trung bình thấp; VI = SIDS. Nguồn: tác giả tổng hợp.</w:t>
      </w:r>
    </w:p>
    <w:p>
      <w:pPr>
        <w:pStyle w:val="BodyText"/>
      </w:pPr>
      <w:r>
        <w:t xml:space="preserve">Đọc dọc Bảng 5.1, toàn bộ mười nghiên cứu thành phần cùng chương sách bổ sung — nghiên cứu nền tảng 17 nền (P1), một phân tích tổng hợp toàn cầu (P6), năm ước lượng đơn quốc gia trải khắp phổ thể chế (P2–P5, P9), một kiểm định toàn mẫu 50 nền (P7), hai trường hợp biên (P8 SIDS, P10 Nhật Bản), và bằng chứng tầng quản trị từ chương sách — hội tụ về</w:t>
      </w:r>
      <w:r>
        <w:t xml:space="preserve"> </w:t>
      </w:r>
      <w:r>
        <w:rPr>
          <w:bCs/>
          <w:b/>
        </w:rPr>
        <w:t xml:space="preserve">một tuyên bố lý thuyết duy nhất có thể bác bỏ</w:t>
      </w:r>
      <w:r>
        <w:t xml:space="preserve">:</w:t>
      </w:r>
      <w:r>
        <w:t xml:space="preserve"> </w:t>
      </w:r>
      <w:r>
        <w:rPr>
          <w:iCs/>
          <w:i/>
        </w:rPr>
        <w:t xml:space="preserve">mức độ quốc tế hóa cải thiện hiệu quả doanh nghiệp theo một dạng hàm mà bản thân dạng hàm đó là một hàm của vị trí thể chế</w:t>
      </w:r>
      <w:r>
        <w:t xml:space="preserve">. Cụ thể, độ dày đệm thể chế quyết định liệu quan hệ I–P là gần tuyến tính dương (biên trên), chữ U ngược sắc nét (chế độ chuyển đổi), hay mất cấu trúc và đảo dấu (biên dưới). Tuyên bố này nâng luận điểm kinh điển</w:t>
      </w:r>
      <w:r>
        <w:t xml:space="preserve"> </w:t>
      </w:r>
      <w:r>
        <w:t xml:space="preserve">“</w:t>
      </w:r>
      <w:r>
        <w:t xml:space="preserve">bối cảnh quan trọng</w:t>
      </w:r>
      <w:r>
        <w:t xml:space="preserve">”</w:t>
      </w:r>
      <w:r>
        <w:t xml:space="preserve"> </w:t>
      </w:r>
      <w:r>
        <w:t xml:space="preserve">từ một nhận định định tính (thể chế điều tiết</w:t>
      </w:r>
      <w:r>
        <w:t xml:space="preserve"> </w:t>
      </w:r>
      <w:r>
        <w:rPr>
          <w:iCs/>
          <w:i/>
        </w:rPr>
        <w:t xml:space="preserve">độ lớn</w:t>
      </w:r>
      <w:r>
        <w:t xml:space="preserve"> </w:t>
      </w:r>
      <w:r>
        <w:t xml:space="preserve">hiệu ứng) lên một mệnh đề định lượng kiểm định được (thể chế điều tiết</w:t>
      </w:r>
      <w:r>
        <w:t xml:space="preserve"> </w:t>
      </w:r>
      <w:r>
        <w:rPr>
          <w:iCs/>
          <w:i/>
        </w:rPr>
        <w:t xml:space="preserve">dấu và dạng</w:t>
      </w:r>
      <w:r>
        <w:t xml:space="preserve"> </w:t>
      </w:r>
      <w:r>
        <w:t xml:space="preserve">hiệu ứng), và xác định tường minh điểm — chế độ SIDS — mà tại đó cả họ lý thuyết chữ U ngược không còn ứng dụng được.</w:t>
      </w:r>
    </w:p>
    <w:bookmarkEnd w:id="270"/>
    <w:bookmarkEnd w:id="271"/>
    <w:bookmarkStart w:id="279" w:name="so-sánh-với-nghiên-cứu-trước-đây"/>
    <w:p>
      <w:pPr>
        <w:pStyle w:val="Heading2"/>
      </w:pPr>
      <w:r>
        <w:t xml:space="preserve">5.2 So sánh với nghiên cứu trước đây</w:t>
      </w:r>
    </w:p>
    <w:bookmarkStart w:id="272"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272"/>
    <w:bookmarkStart w:id="273"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mất cấu trúc</w:t>
      </w:r>
      <w:r>
        <w:t xml:space="preserve"> </w:t>
      </w:r>
      <w:r>
        <w:t xml:space="preserve">(không còn độ cong hay độ dốc có ý nghĩa) thay vì tuân theo đường cong chữ S hay chữ U ngược; FIP được nêu như trường hợp giới hạn lý thuyết của sự mất cấu trúc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tài liệu Lu và Beamish.</w:t>
      </w:r>
    </w:p>
    <w:bookmarkEnd w:id="273"/>
    <w:bookmarkStart w:id="274"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phổ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phổ thể chế mà thước đo nhị phân làm mất.</w:t>
      </w:r>
    </w:p>
    <w:p>
      <w:pPr>
        <w:pStyle w:val="BodyText"/>
      </w:pPr>
      <w:r>
        <w:t xml:space="preserve">Cách đọc điều tiết theo chế độ thể chế này nhất quán với dòng bằng chứng tổng hợp rộng hơn rằng quan hệ quốc tế hóa và hiệu quả bị ràng buộc bởi bối cảnh hơn là tuân theo một quy luật phổ quát. Beugelsdijk et al. (2018), qua một phân tích tổng hợp về khoảng cách văn hóa và quá trình quốc tế hóa của doanh nghiệp, cho thấy hệ quả của quốc tế hóa phụ thuộc một cách hệ thống vào khoảng cách văn hóa và thể chế giữa thị trường nguồn và thị trường đích; còn Debicki et al. (2020) ghi nhận rằng cường độ xuất khẩu làm suy yếu quan hệ quốc tế hóa và hiệu quả ở doanh nghiệp gia đình. Cả hai củng cố luận điểm rằng phổ ICRV nắm bắt đúng chiều bối cảnh, khoảng cách và cường độ tham gia, mà các thước đo nhị phân bỏ sót.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274"/>
    <w:bookmarkStart w:id="275"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mất cấu trúc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dạng mô hình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dạng mô hình. Hai đặc điểm này, kết hợp với tam giác hóa giữa phân tích tổng hợp và ước lượng gộp ở Mục 5.2.5, đặt cấu trúc ba vùng trên nền tảng xác nhận chéo chứ không phải trên tự do bậc mô hình.</w:t>
      </w:r>
    </w:p>
    <w:bookmarkEnd w:id="275"/>
    <w:bookmarkStart w:id="276"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(qua kiểm định tổng thể, omnibus) rằng các chế độ thể chế ICRV khác biệt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kiểm định này chỉ khẳng định</w:t>
      </w:r>
      <w:r>
        <w:t xml:space="preserve"> </w:t>
      </w:r>
      <w:r>
        <w:rPr>
          <w:iCs/>
          <w:i/>
        </w:rPr>
        <w:t xml:space="preserve">có</w:t>
      </w:r>
      <w:r>
        <w:t xml:space="preserve"> </w:t>
      </w:r>
      <w:r>
        <w:t xml:space="preserve">khác biệt giữa các chế độ, còn cấu trúc</w:t>
      </w:r>
      <w:r>
        <w:t xml:space="preserve"> </w:t>
      </w:r>
      <w:r>
        <w:rPr>
          <w:iCs/>
          <w:i/>
        </w:rPr>
        <w:t xml:space="preserve">hướng</w:t>
      </w:r>
      <w:r>
        <w:t xml:space="preserve"> </w:t>
      </w:r>
      <w:r>
        <w:t xml:space="preserve">của gradient do P7 cung cấp chứ không phải P6 (xem Mục 4.6.2).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276"/>
    <w:bookmarkStart w:id="277"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thiết lập mô hình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Cụ thể hơn,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277"/>
    <w:bookmarkStart w:id="278"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hoạt động kinh doanh của doanh nghiệp ở các nền kinh tế mới nổi, trong đó tính động công nghệ tạo tương tác dương còn tính động thị trường tạo tương tác âm. Bằng chứng phổ thể chế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278"/>
    <w:bookmarkEnd w:id="279"/>
    <w:bookmarkStart w:id="290" w:name="đóng-góp-lý-thuyết-1"/>
    <w:p>
      <w:pPr>
        <w:pStyle w:val="Heading2"/>
      </w:pPr>
      <w:r>
        <w:t xml:space="preserve">5.3 Đóng góp lý thuyết</w:t>
      </w:r>
    </w:p>
    <w:bookmarkStart w:id="280" w:name="khung-đánh-giá-đóng-góp-lý-thuyết"/>
    <w:p>
      <w:pPr>
        <w:pStyle w:val="Heading3"/>
      </w:pPr>
      <w:r>
        <w:t xml:space="preserve">5.3.0 Khung đánh giá đóng góp lý thuyết</w:t>
      </w:r>
    </w:p>
    <w:p>
      <w:pPr>
        <w:pStyle w:val="FirstParagraph"/>
      </w:pPr>
      <w:r>
        <w:t xml:space="preserve">Trước khi trình bày từng đóng góp, mục này định vị chúng theo hai tiêu chí được chấp nhận rộng rãi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 câu hỏi</w:t>
      </w:r>
      <w:r>
        <w:t xml:space="preserve"> </w:t>
      </w:r>
      <w:r>
        <w:rPr>
          <w:bCs/>
          <w:b/>
        </w:rPr>
        <w:t xml:space="preserve">“</w:t>
      </w:r>
      <w:r>
        <w:rPr>
          <w:bCs/>
          <w:b/>
        </w:rPr>
        <w:t xml:space="preserve">cái gì – như thế nào – vì sao</w:t>
      </w:r>
      <w:r>
        <w:rPr>
          <w:bCs/>
          <w:b/>
        </w:rPr>
        <w:t xml:space="preserve">”</w:t>
      </w:r>
      <w:r>
        <w:t xml:space="preserve"> </w:t>
      </w:r>
      <w:r>
        <w:t xml:space="preserve">mà một đóng góp lý thuyết phải trả lời (Whetten, 1989). Theo Corley và Gioia (2011), một đóng góp có giá trị phải vừa</w:t>
      </w:r>
      <w:r>
        <w:t xml:space="preserve"> </w:t>
      </w:r>
      <w:r>
        <w:rPr>
          <w:iCs/>
          <w:i/>
        </w:rPr>
        <w:t xml:space="preserve">nguyên gốc</w:t>
      </w:r>
      <w:r>
        <w:t xml:space="preserve"> </w:t>
      </w:r>
      <w:r>
        <w:t xml:space="preserve">(tăng tiến hoặc mở đường mới) vừa</w:t>
      </w:r>
      <w:r>
        <w:t xml:space="preserve"> </w:t>
      </w:r>
      <w:r>
        <w:rPr>
          <w:iCs/>
          <w:i/>
        </w:rPr>
        <w:t xml:space="preserve">hữu dụng</w:t>
      </w:r>
      <w:r>
        <w:t xml:space="preserve"> </w:t>
      </w:r>
      <w:r>
        <w:t xml:space="preserve">(cho khoa học hoặc thực tiễn); luận án định vị mỗi đóng góp trên cả hai trục này thay vì chỉ tuyên bố tính mới.</w:t>
      </w:r>
    </w:p>
    <w:p>
      <w:pPr>
        <w:pStyle w:val="BodyText"/>
      </w:pPr>
      <w:r>
        <w:t xml:space="preserve">Điểm phân biệt cốt lõi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được giữ tường minh: việc tái xác nhận chữ U ngược ở từng bối cảnh đơn lẻ (P3, P4, P5) tự nó là</w:t>
      </w:r>
      <w:r>
        <w:t xml:space="preserve"> </w:t>
      </w:r>
      <w:r>
        <w:rPr>
          <w:iCs/>
          <w:i/>
        </w:rPr>
        <w:t xml:space="preserve">nhân rộng</w:t>
      </w:r>
      <w:r>
        <w:t xml:space="preserve"> </w:t>
      </w:r>
      <w:r>
        <w:t xml:space="preserve">có giá trị xác nhận nhưng không phải đóng góp lý thuyết mới; đóng góp nằm ở</w:t>
      </w:r>
      <w:r>
        <w:t xml:space="preserve"> </w:t>
      </w:r>
      <w:r>
        <w:rPr>
          <w:iCs/>
          <w:i/>
        </w:rPr>
        <w:t xml:space="preserve">cấu trúc hóa</w:t>
      </w:r>
      <w:r>
        <w:t xml:space="preserve"> </w:t>
      </w:r>
      <w:r>
        <w:t xml:space="preserve">sự biến thiên xuyên bối cảnh của dạng hàm đó thành một quy luật kiểm định được. Tương ứng, mỗi đóng góp dưới đây được phát biểu dưới dạng</w:t>
      </w:r>
      <w:r>
        <w:t xml:space="preserve"> </w:t>
      </w:r>
      <w:r>
        <w:rPr>
          <w:bCs/>
          <w:b/>
        </w:rPr>
        <w:t xml:space="preserve">mệnh đề có thể bác bỏ</w:t>
      </w:r>
      <w:r>
        <w:t xml:space="preserve"> </w:t>
      </w:r>
      <w:r>
        <w:t xml:space="preserve">(falsifiable) kèm</w:t>
      </w:r>
      <w:r>
        <w:t xml:space="preserve"> </w:t>
      </w:r>
      <w:r>
        <w:rPr>
          <w:bCs/>
          <w:b/>
        </w:rPr>
        <w:t xml:space="preserve">điều kiện phạm vi</w:t>
      </w:r>
      <w:r>
        <w:t xml:space="preserve"> </w:t>
      </w:r>
      <w:r>
        <w:t xml:space="preserve">(scope conditions) tường minh — đặc điểm mà khung CDCM–ICRV–FIP đáp ứng vì nó dự đoán</w:t>
      </w:r>
      <w:r>
        <w:t xml:space="preserve"> </w:t>
      </w:r>
      <w:r>
        <w:rPr>
          <w:iCs/>
          <w:i/>
        </w:rPr>
        <w:t xml:space="preserve">trước</w:t>
      </w:r>
      <w:r>
        <w:t xml:space="preserve"> </w:t>
      </w:r>
      <w:r>
        <w:t xml:space="preserve">vị trí và sự tồn tại của điểm uốn theo chế độ thể chế, do đó có thể sai nếu dữ liệu không khớp. Bốn đóng góp dưới đây (5.3.1–5.3.7) lần lượt trả lời:</w:t>
      </w:r>
      <w:r>
        <w:t xml:space="preserve"> </w:t>
      </w:r>
      <w:r>
        <w:rPr>
          <w:iCs/>
          <w:i/>
        </w:rPr>
        <w:t xml:space="preserve">cái gì</w:t>
      </w:r>
      <w:r>
        <w:t xml:space="preserve"> </w:t>
      </w:r>
      <w:r>
        <w:t xml:space="preserve">mới được đưa vào (DAI là nguồn lực tình huống; FIP; ICRV; điều kiện ổn định thể chế),</w:t>
      </w:r>
      <w:r>
        <w:t xml:space="preserve"> </w:t>
      </w:r>
      <w:r>
        <w:rPr>
          <w:iCs/>
          <w:i/>
        </w:rPr>
        <w:t xml:space="preserve">như thế nào</w:t>
      </w:r>
      <w:r>
        <w:t xml:space="preserve"> </w:t>
      </w:r>
      <w:r>
        <w:t xml:space="preserve">các cấu trúc này vận hành (qua nâng mặt bằng vs uốn đường cong; qua dịch chuyển vs hòa tan điểm uốn), và</w:t>
      </w:r>
      <w:r>
        <w:t xml:space="preserve"> </w:t>
      </w:r>
      <w:r>
        <w:rPr>
          <w:iCs/>
          <w:i/>
        </w:rPr>
        <w:t xml:space="preserve">vì sao bây giờ</w:t>
      </w:r>
      <w:r>
        <w:t xml:space="preserve"> </w:t>
      </w:r>
      <w:r>
        <w:t xml:space="preserve">(kỷ nguyên số và sự sẵn có lần đầu của dữ liệu doanh nghiệp hài hòa cho 50 nền châu Á – Thái Bình Dương, gồm Nhật Bản 2025).</w:t>
      </w:r>
    </w:p>
    <w:bookmarkEnd w:id="280"/>
    <w:bookmarkStart w:id="281"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281"/>
    <w:bookmarkStart w:id="282"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+0,28 đến +0,43; toàn mẫu 50 nền +0,141; Nhật Bản +0,100; SIDS +0,064), trong khi các tương tác uốn đường cong với cường độ xuất khẩu không đạt ý nghĩa thống kê trên toàn mẫu và chỉ định hình ở một bối cảnh đơn quốc gia. Ngay cả tại SIDS, nơi dạng chữ U ngược mất cấu trúc, năng lực công nghệ vẫn nâng mặt bằng năng suất nhưng không thể uốn độ dốc sang vùng có lợi,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282"/>
    <w:bookmarkStart w:id="283"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283"/>
    <w:bookmarkStart w:id="284"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r>
        <w:t xml:space="preserve"> </w:t>
      </w:r>
      <w:r>
        <w:rPr>
          <w:bCs/>
          <w:b/>
        </w:rPr>
        <w:t xml:space="preserve">Lưu ý về phạm vi áp dụng:</w:t>
      </w:r>
      <w:r>
        <w:t xml:space="preserve"> </w:t>
      </w:r>
      <w:r>
        <w:t xml:space="preserve">khung sáu chế độ đầy đủ (Nhóm I tới VI, trong đó Nhóm VI là SIDS) được vận hành ở phân tích cấp doanh nghiệp (P7), nơi tồn tại các doanh nghiệp đảo nhỏ trong dữ liệu WBES; còn phân tích tổng hợp ba tầng (P6) sử dụng năm chế độ vì chế độ SIDS không có nghiên cứu sơ cấp công bố cung cấp cỡ ảnh hưởng quốc tế hóa–hiệu quả (</w:t>
      </w:r>
      <m:oMath>
        <m:r>
          <m:t>k</m:t>
        </m:r>
        <m:r>
          <m:rPr>
            <m:sty m:val="p"/>
          </m:rPr>
          <m:t>=</m:t>
        </m:r>
        <m:r>
          <m:t>0</m:t>
        </m:r>
      </m:oMath>
      <w:r>
        <w:t xml:space="preserve">), nên không thể đưa vào kiểm định giữa các chế độ ở cấp phân tích tổng hợp.</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phổ thể chế: chữ U ngược định hình rõ nhất ở vùng giữa (Nhóm IV, điểm uốn 43,0%), duỗi thẳng gần tuyến tính ở biên trên nơi thể chế mạnh đẩy điểm uốn ra mức cường độ xuất khẩu rất cao (Singapore khoảng 88,6%), và mất cấu trúc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284"/>
    <w:bookmarkStart w:id="285"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Bậc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285"/>
    <w:bookmarkStart w:id="286"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mất cấu trúc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một dải liên tục từ chữ U ngược đến mất cấu trúc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286"/>
    <w:bookmarkStart w:id="287" w:name="Xaf4611420c0d9e18880fab8918c5deec248ab26"/>
    <w:p>
      <w:pPr>
        <w:pStyle w:val="Heading3"/>
      </w:pPr>
      <w:r>
        <w:t xml:space="preserve">5.3.6 Hệ quả phương pháp luận cho nghiên cứu phi tuyến đa bối cảnh (đóng góp phụ trợ)</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287"/>
    <w:bookmarkStart w:id="288"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288"/>
    <w:bookmarkStart w:id="289" w:name="X424c76d92b37ed9a157ad7d30d86350b2c8bf81"/>
    <w:p>
      <w:pPr>
        <w:pStyle w:val="Heading3"/>
      </w:pPr>
      <w:r>
        <w:t xml:space="preserve">5.3.8 Điều kiện phạm vi và cơ sở nhận dạng nhân quả của khung CDCM</w:t>
      </w:r>
    </w:p>
    <w:p>
      <w:pPr>
        <w:pStyle w:val="FirstParagraph"/>
      </w:pPr>
      <w:r>
        <w:t xml:space="preserve">Một đóng góp lý thuyết đạt chuẩn quốc tế phải nêu rõ không chỉ</w:t>
      </w:r>
      <w:r>
        <w:t xml:space="preserve"> </w:t>
      </w:r>
      <w:r>
        <w:rPr>
          <w:iCs/>
          <w:i/>
        </w:rPr>
        <w:t xml:space="preserve">nó khẳng định điều gì</w:t>
      </w:r>
      <w:r>
        <w:t xml:space="preserve"> </w:t>
      </w:r>
      <w:r>
        <w:t xml:space="preserve">mà cả</w:t>
      </w:r>
      <w:r>
        <w:t xml:space="preserve"> </w:t>
      </w:r>
      <w:r>
        <w:rPr>
          <w:iCs/>
          <w:i/>
        </w:rPr>
        <w:t xml:space="preserve">trong những điều kiện nào điều đó đúng</w:t>
      </w:r>
      <w:r>
        <w:t xml:space="preserve"> </w:t>
      </w:r>
      <w:r>
        <w:t xml:space="preserve">và</w:t>
      </w:r>
      <w:r>
        <w:t xml:space="preserve"> </w:t>
      </w:r>
      <w:r>
        <w:rPr>
          <w:iCs/>
          <w:i/>
        </w:rPr>
        <w:t xml:space="preserve">cơ sở suy luận nào nâng đỡ khẳng định</w:t>
      </w:r>
      <w:r>
        <w:t xml:space="preserve"> </w:t>
      </w:r>
      <w:r>
        <w:t xml:space="preserve">(Santangelo &amp; Verbeke, 2022). Mục này phát biểu tường minh hai điều đó cho khung CDCM, tách bạch khỏi các hạn chế nghiên cứu (Mục 5.5) vốn nói về điểm yếu của thiết kế chứ không phải ranh giới của lý thuyết.</w:t>
      </w:r>
    </w:p>
    <w:p>
      <w:pPr>
        <w:pStyle w:val="BodyText"/>
      </w:pPr>
      <w:r>
        <w:rPr>
          <w:bCs/>
          <w:b/>
        </w:rPr>
        <w:t xml:space="preserve">Điều kiện phạm vi (boundary conditions).</w:t>
      </w:r>
      <w:r>
        <w:t xml:space="preserve"> </w:t>
      </w:r>
      <w:r>
        <w:t xml:space="preserve">Khung CDCM được phát biểu trong một miền ứng dụng xác định, và chính sự xác định này làm cho nó có thể bị bác bỏ. Thứ nhất,</w:t>
      </w:r>
      <w:r>
        <w:t xml:space="preserve"> </w:t>
      </w:r>
      <w:r>
        <w:rPr>
          <w:iCs/>
          <w:i/>
        </w:rPr>
        <w:t xml:space="preserve">đơn vị và thước đo</w:t>
      </w:r>
      <w:r>
        <w:t xml:space="preserve">: khung áp dụng cho quan hệ ở</w:t>
      </w:r>
      <w:r>
        <w:t xml:space="preserve"> </w:t>
      </w:r>
      <w:r>
        <w:rPr>
          <w:bCs/>
          <w:b/>
        </w:rPr>
        <w:t xml:space="preserve">cấp doanh nghiệp</w:t>
      </w:r>
      <w:r>
        <w:t xml:space="preserve"> </w:t>
      </w:r>
      <w:r>
        <w:t xml:space="preserve">với mức độ quốc tế hóa được đo bằng</w:t>
      </w:r>
      <w:r>
        <w:t xml:space="preserve"> </w:t>
      </w:r>
      <w:r>
        <w:rPr>
          <w:bCs/>
          <w:b/>
        </w:rPr>
        <w:t xml:space="preserve">cường độ xuất khẩu (chiều doanh số của DOI)</w:t>
      </w:r>
      <w:r>
        <w:t xml:space="preserve">; các chiều khác của quốc tế hóa (phạm vi địa lý, chiều sâu cam kết qua đầu tư trực tiếp ra nước ngoài) nằm ngoài phạm vi đã kiểm định và là điều kiện biên cần nhân rộng (Mục 5.5.3.3). Thứ hai,</w:t>
      </w:r>
      <w:r>
        <w:t xml:space="preserve"> </w:t>
      </w:r>
      <w:r>
        <w:rPr>
          <w:iCs/>
          <w:i/>
        </w:rPr>
        <w:t xml:space="preserve">miền thể chế</w:t>
      </w:r>
      <w:r>
        <w:t xml:space="preserve">: khung được hiệu chỉnh và kiểm định trên</w:t>
      </w:r>
      <w:r>
        <w:t xml:space="preserve"> </w:t>
      </w:r>
      <w:r>
        <w:rPr>
          <w:bCs/>
          <w:b/>
        </w:rPr>
        <w:t xml:space="preserve">phổ thể chế châu Á và Thái Bình Dương</w:t>
      </w:r>
      <w:r>
        <w:t xml:space="preserve"> </w:t>
      </w:r>
      <w:r>
        <w:t xml:space="preserve">giai đoạn 2006–2026; việc mở rộng sang các khu vực có cấu hình thể chế khác (Mỹ Latinh, châu Phi hạ Sahara) là một kiểm định phạm vi mở. Thứ ba,</w:t>
      </w:r>
      <w:r>
        <w:t xml:space="preserve"> </w:t>
      </w:r>
      <w:r>
        <w:rPr>
          <w:iCs/>
          <w:i/>
        </w:rPr>
        <w:t xml:space="preserve">giả định cấu trúc tối thiểu</w:t>
      </w:r>
      <w:r>
        <w:t xml:space="preserve">: khung ngầm giả định ba điều kiện cấu trúc — thị trường nội địa đủ lớn, chi phí thương mại không quá cao, và tồn tại hỗ trợ thể chế tối thiểu — được thỏa mãn; chính việc</w:t>
      </w:r>
      <w:r>
        <w:t xml:space="preserve"> </w:t>
      </w:r>
      <w:r>
        <w:rPr>
          <w:bCs/>
          <w:b/>
        </w:rPr>
        <w:t xml:space="preserve">định danh trường hợp các giả định này đồng thời bị vi phạm</w:t>
      </w:r>
      <w:r>
        <w:t xml:space="preserve"> </w:t>
      </w:r>
      <w:r>
        <w:t xml:space="preserve">(chế độ SIDS, qua khái niệm FIP) là cách luận án biến điều kiện biên ngầm của cả họ lý thuyết chữ U ngược thành một mệnh đề tường minh. Khung do đó tự nêu ranh giới ứng dụng của chính nó: tại biên dưới cực trị của phổ thể chế, dạng hàm chữ U ngược không còn là mô tả đúng.</w:t>
      </w:r>
    </w:p>
    <w:p>
      <w:pPr>
        <w:pStyle w:val="BodyText"/>
      </w:pPr>
      <w:r>
        <w:rPr>
          <w:bCs/>
          <w:b/>
        </w:rPr>
        <w:t xml:space="preserve">Cơ sở nhận dạng nhân quả.</w:t>
      </w:r>
      <w:r>
        <w:t xml:space="preserve"> </w:t>
      </w:r>
      <w:r>
        <w:t xml:space="preserve">Luận án giữ thái độ suy luận thận trọng và nhất quán: thiết kế dữ liệu là</w:t>
      </w:r>
      <w:r>
        <w:t xml:space="preserve"> </w:t>
      </w:r>
      <w:r>
        <w:rPr>
          <w:bCs/>
          <w:b/>
        </w:rPr>
        <w:t xml:space="preserve">chuỗi cắt ngang lặp lại</w:t>
      </w:r>
      <w:r>
        <w:t xml:space="preserve"> </w:t>
      </w:r>
      <w:r>
        <w:t xml:space="preserve">(không phải dữ liệu bảng theo dõi cùng doanh nghiệp), nên các phát biểu được hiểu là</w:t>
      </w:r>
      <w:r>
        <w:t xml:space="preserve"> </w:t>
      </w:r>
      <w:r>
        <w:rPr>
          <w:bCs/>
          <w:b/>
        </w:rPr>
        <w:t xml:space="preserve">quan hệ cấu trúc có điều kiện</w:t>
      </w:r>
      <w:r>
        <w:t xml:space="preserve"> </w:t>
      </w:r>
      <w:r>
        <w:t xml:space="preserve">chứ không phải hiệu ứng nhân quả điểm được nhận dạng chặt. Tuy vậy, độ tin cậy của luận điểm trung tâm không dựa trên một ước lượng đơn lẻ mà trên</w:t>
      </w:r>
      <w:r>
        <w:t xml:space="preserve"> </w:t>
      </w:r>
      <w:r>
        <w:rPr>
          <w:bCs/>
          <w:b/>
        </w:rPr>
        <w:t xml:space="preserve">tam giác hóa nhiều nguồn nhận dạng có thiên lệch không trùng nhau</w:t>
      </w:r>
      <w:r>
        <w:t xml:space="preserve">: (i) biến công cụ cho chấp nhận số với kiểm định độ mạnh công cụ (Mục 3.5.6.1), cho hệ số DAI được công cụ hóa gần</w:t>
      </w:r>
      <w:r>
        <w:t xml:space="preserve"> </w:t>
      </w:r>
      <w:r>
        <w:t xml:space="preserve">“</w:t>
      </w:r>
      <w:r>
        <w:t xml:space="preserve">không</w:t>
      </w:r>
      <w:r>
        <w:t xml:space="preserve">”</w:t>
      </w:r>
      <w:r>
        <w:t xml:space="preserve"> </w:t>
      </w:r>
      <w:r>
        <w:t xml:space="preserve">— gợi ý phần lớn tương quan DAI–hiệu quả mang tính chọn lọc chứ không nhân quả, một kết luận</w:t>
      </w:r>
      <w:r>
        <w:t xml:space="preserve"> </w:t>
      </w:r>
      <w:r>
        <w:rPr>
          <w:iCs/>
          <w:i/>
        </w:rPr>
        <w:t xml:space="preserve">khiêm tốn hóa</w:t>
      </w:r>
      <w:r>
        <w:t xml:space="preserve"> </w:t>
      </w:r>
      <w:r>
        <w:t xml:space="preserve">chứ không thổi phồng; (ii) giới hạn Oster về thiên lệch do biến bỏ sót không quan sát (Mục 3.5.6.2); (iii) kiểm định ổn định hệ số Paternoster xuyên đợt khảo sát (P5:</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(iv)</w:t>
      </w:r>
      <w:r>
        <w:t xml:space="preserve"> </w:t>
      </w:r>
      <w:r>
        <w:rPr>
          <w:bCs/>
          <w:b/>
        </w:rPr>
        <w:t xml:space="preserve">tính nhất quán về dấu xuyên nhiều mô hình</w:t>
      </w:r>
      <w:r>
        <w:t xml:space="preserve"> </w:t>
      </w:r>
      <w:r>
        <w:t xml:space="preserve">như nguyên tắc suy luận nền tảng (Mục 3.5.6.3); và (v) sự hội tụ giữa phân tích tổng hợp (P6) và ước lượng gộp cấp doanh nghiệp (P7) — hai phương pháp chịu các nguồn thiên lệch khác nhau nhưng cùng định vị thể chế là biến điều tiết then chốt (Mục 5.2.5). Khi năm nguồn nhận dạng với điểm yếu bù trừ lẫn nhau cùng chỉ về một kết luận, luận điểm cấu trúc trở nên khó quy về tạo tác của một quy trình phân tích đơn lẻ, ngay cả khi từng nguồn riêng lẻ không đủ để nhận dạng nhân quả điểm. Đây chính là chuẩn suy luận mà tài liệu kinh doanh quốc tế đương đại kỳ vọng ở thiết kế quan sát đa bối cảnh.</w:t>
      </w:r>
    </w:p>
    <w:bookmarkEnd w:id="289"/>
    <w:bookmarkEnd w:id="290"/>
    <w:bookmarkStart w:id="297"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291"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Phổ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291"/>
    <w:bookmarkStart w:id="292"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7"/>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7"/>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7"/>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7"/>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292"/>
    <w:bookmarkStart w:id="293"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293"/>
    <w:bookmarkStart w:id="294"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Bậc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294"/>
    <w:bookmarkStart w:id="295" w:name="X06a1f524ffa641eeef7964d8ecbb8b71d6457df"/>
    <w:p>
      <w:pPr>
        <w:pStyle w:val="Heading3"/>
      </w:pPr>
      <w:r>
        <w:t xml:space="preserve">5.4.5 Khung can thiệp phân tầng theo chế độ thể chế ICRV cho ba nhóm đối tượng</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 Phần này trình bày khung can thiệp phân tầng đó cho ba nhóm đối tượng kế tiếp nhau, là nhà hoạch định chính sách quốc gia, nhà quản trị doanh nghiệp, và các tổ chức phát triển và tài trợ quốc tế, mỗi nhóm vận dụng cùng một logic ba vùng nhưng qua đòn bẩy hành động khác nhau.</w:t>
      </w:r>
    </w:p>
    <w:p>
      <w:pPr>
        <w:pStyle w:val="BodyText"/>
      </w:pPr>
      <w:r>
        <w:rPr>
          <w:bCs/>
          <w:b/>
        </w:rPr>
        <w:t xml:space="preserve">Đối với nhà hoạch định chính sách quốc gia.</w:t>
      </w:r>
      <w:r>
        <w:t xml:space="preserve"> </w:t>
      </w: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mất cấu trúc và quan hệ có xu hướng nghiêng âm,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p>
      <w:pPr>
        <w:pStyle w:val="BodyText"/>
      </w:pPr>
      <w:r>
        <w:rPr>
          <w:bCs/>
          <w:b/>
        </w:rPr>
        <w:t xml:space="preserve">Đối với nhà quản trị doanh nghiệp.</w:t>
      </w:r>
      <w:r>
        <w:t xml:space="preserve"> </w:t>
      </w: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mất cấu trúc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p>
      <w:pPr>
        <w:pStyle w:val="BodyText"/>
      </w:pPr>
      <w:r>
        <w:rPr>
          <w:bCs/>
          <w:b/>
        </w:rPr>
        <w:t xml:space="preserve">Đối với các tổ chức phát triển và tài trợ quốc tế.</w:t>
      </w:r>
      <w:r>
        <w:t xml:space="preserve"> </w:t>
      </w: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295"/>
    <w:bookmarkStart w:id="296" w:name="Xe0db8e28cf03dc8a65a6387c8f4ba9208afb8a3"/>
    <w:p>
      <w:pPr>
        <w:pStyle w:val="Heading3"/>
      </w:pPr>
      <w:r>
        <w:t xml:space="preserve">5.4.6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296"/>
    <w:bookmarkEnd w:id="297"/>
    <w:bookmarkStart w:id="307" w:name="hạn-chế-và-hướng-nghiên-cứu-tương-lai"/>
    <w:p>
      <w:pPr>
        <w:pStyle w:val="Heading2"/>
      </w:pPr>
      <w:r>
        <w:t xml:space="preserve">5.5 Hạn chế và hướng nghiên cứu tương lai</w:t>
      </w:r>
    </w:p>
    <w:p>
      <w:pPr>
        <w:pStyle w:val="FirstParagraph"/>
      </w:pPr>
      <w:r>
        <w:t xml:space="preserve">Các hạn chế dưới đây được trình bày không phải như một danh mục khuyết điểm rời rạc mà như đường biên suy luận của luận án: mỗi hạn chế được gắn với hệ quả cụ thể cho điều có thể và không thể kết luận, và được tách bạch với các điều kiện phạm vi lý thuyết đã nêu ở Mục 5.3.8. Đọc theo cách đó, phần này định khung chính xác miền mà bên trong đó các phát hiện được bằng chứng hỗ trợ, đồng thời chỉ ra các phép kiểm định còn thiếu mà hướng nghiên cứu tương lai ở Mục 5.5.4 được thiết kế để lấp.</w:t>
      </w:r>
    </w:p>
    <w:bookmarkStart w:id="298"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Bậc 1 DAI (website, email, online sales) được sử dụng do hạn chế của các làn sóng 2009 và 2015, trong khi Bậc 2 (e-payment, e-supplier) chỉ có từ 2023. Điều này tạo ra khả năng đo lường không đầy đủ, đặc biệt là không nắm bắt được chiều sâu năng lực số ở bối cảnh ICRV thấp.</w:t>
      </w:r>
    </w:p>
    <w:p>
      <w:pPr>
        <w:pStyle w:val="BodyText"/>
      </w:pPr>
      <w:r>
        <w:t xml:space="preserve">Một giới hạn thứ hai của đo lường DAI là tính tĩnh tại một thời điểm khảo sát; vì hệ quả của nó đối với việc diễn giải vai trò động của năng lực số được trình bày đầy đủ ở Mục 5.5.3.1, ở đây chỉ nêu để bảo đảm tính trọn vẹn của nhóm hạn chế đo lường DAI mà không nhắc lại.</w:t>
      </w:r>
    </w:p>
    <w:bookmarkEnd w:id="298"/>
    <w:bookmarkStart w:id="299"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299"/>
    <w:bookmarkStart w:id="300"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300"/>
    <w:bookmarkStart w:id="301"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Bậc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Bậc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Bậc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Bậc 1 chứ không phải sự vắng mặt của cơ chế. Hạn chế này có hệ quả trực tiếp: các kết luận về DAI ở những bối cảnh chỉ đo được Bậc 1 nên được hiểu là chưa kết luận hơn là bác bỏ, và việc kiểm định lại với thước đo Bậc 2 và Bậc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301"/>
    <w:bookmarkStart w:id="302"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p>
      <w:pPr>
        <w:pStyle w:val="BodyText"/>
      </w:pPr>
      <w:r>
        <w:t xml:space="preserve">Bên cạnh đường biên không gian còn một đường biên thời gian. Cấu trúc ba vùng được nhận diện trên dữ liệu trải dài 2006–2026, một cửa sổ mà phần lớn các chế độ thể chế giữ ổn định tương đối; nhưng chính bằng chứng Ấn Độ (Mục 5.1.6) cho thấy khi tốc độ và biên độ biến động thể chế đủ lớn, điểm uốn có thể dịch chuyển rồi tan biến, nghĩa là tính ổn định của phổ điểm uốn là một điều kiện chứ không phải một thuộc tính bất biến của khung. Ba lực đang định hình lại bối cảnh sau giai đoạn quan sát, gồm sự khuếch tán nhanh của trí tuệ nhân tạo làm thay đổi bản chất của lợi thế số, sự tái cấu trúc thương mại dưới áp lực khí hậu và dịch chuyển chuỗi cung ứng, và sự phân mảnh địa chính trị làm tăng chi phí phối hợp xuyên biên giới, đều tác động trực tiếp lên cả ba tầng điều tiết của khung CDCM; do đó vị trí điểm uốn và ngay cả ranh giới giữa ba vùng nên được đọc như một lát cắt đặc trưng cho giai đoạn 2006–2026 chứ chưa phải một hằng số cấu trúc. Kiểm định lại phổ điểm uốn trên các đợt WBES sau 2026, khi dữ liệu sẵn có, vì vậy là một phép thử trực tiếp cho tính bền thời gian của khung và là một mở rộng tự nhiên của điều kiện ổn định thể chế mà chính khung CDCM đặt ra.</w:t>
      </w:r>
    </w:p>
    <w:bookmarkEnd w:id="302"/>
    <w:bookmarkStart w:id="303"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303"/>
    <w:bookmarkStart w:id="304"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phổ thể chế chứ không phải một thang đo chính xác tuyệt đối.</w:t>
      </w:r>
    </w:p>
    <w:bookmarkEnd w:id="304"/>
    <w:bookmarkStart w:id="305"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305"/>
    <w:bookmarkStart w:id="306" w:name="hướng-nghiên-cứu-tương-lai"/>
    <w:p>
      <w:pPr>
        <w:pStyle w:val="Heading3"/>
      </w:pPr>
      <w:r>
        <w:t xml:space="preserve">5.5.4 Hướng nghiên cứu tương lai</w:t>
      </w:r>
    </w:p>
    <w:p>
      <w:pPr>
        <w:pStyle w:val="FirstParagraph"/>
      </w:pPr>
      <w:r>
        <w:t xml:space="preserve">Dựa trên các hạn chế trên, luận án đề xuất mười hướng nghiên cứu ưu tiên, được tổ chức thành ba nhóm chủ đề tương ứng với ba nhóm hạn chế chính, để cho thấy các hướng này nảy sinh từ kiến trúc lý thuyết của luận án chứ không phải một danh mục rời rạc: nhóm A củng cố nhận dạng nhân quả và xử lý nội sinh; nhóm B làm giàu đo lường đa chiều và năng lực số động; và nhóm C mở rộng phạm vi khái quát hóa cùng lập bản đồ cơ chế. Mỗi hướng dưới đây được gắn nhãn nhóm tương ứng:</w:t>
      </w:r>
    </w:p>
    <w:p>
      <w:pPr>
        <w:pStyle w:val="BodyText"/>
      </w:pPr>
      <w:r>
        <w:rPr>
          <w:bCs/>
          <w:b/>
        </w:rPr>
        <w:t xml:space="preserve">Thứ nhất</w:t>
      </w:r>
      <w:r>
        <w:t xml:space="preserve"> </w:t>
      </w:r>
      <w:r>
        <w:t xml:space="preserve">(nhóm B), xây dựng đo lường DAI phong phú hơn (Bậc 2 và Bậc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w:t>
      </w:r>
      <w:r>
        <w:t xml:space="preserve">(nhóm A),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w:t>
      </w:r>
      <w:r>
        <w:t xml:space="preserve">(nhóm C),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w:t>
      </w:r>
      <w:r>
        <w:t xml:space="preserve">(nhóm C), kiểm định vai trò của đặc điểm nhà quản trị cấp cao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w:t>
      </w:r>
      <w:r>
        <w:t xml:space="preserve">(nhóm C),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phân hệ đặc thù (trường thọ doanh nghiệp, khoảng cách giới trong lãnh đạo) khi có thêm đợt khảo sát thứ hai.</w:t>
      </w:r>
    </w:p>
    <w:p>
      <w:pPr>
        <w:pStyle w:val="BodyText"/>
      </w:pPr>
      <w:r>
        <w:rPr>
          <w:bCs/>
          <w:b/>
        </w:rPr>
        <w:t xml:space="preserve">Thứ sáu</w:t>
      </w:r>
      <w:r>
        <w:t xml:space="preserve"> </w:t>
      </w:r>
      <w:r>
        <w:t xml:space="preserve">(nhóm A),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w:t>
      </w:r>
      <w:r>
        <w:t xml:space="preserve">(nhóm C), sự dịch chuyển trọng tâm giữa biên tham gia và biên cường độ dọc theo phổ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phổ thể chế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w:t>
      </w:r>
      <w:r>
        <w:t xml:space="preserve">(nhóm C),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phổ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w:t>
      </w:r>
      <w:r>
        <w:t xml:space="preserve">(nhóm B),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w:t>
      </w:r>
      <w:r>
        <w:t xml:space="preserve">(nhóm B),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306"/>
    <w:bookmarkEnd w:id="307"/>
    <w:bookmarkStart w:id="312" w:name="kết-luận"/>
    <w:p>
      <w:pPr>
        <w:pStyle w:val="Heading2"/>
      </w:pPr>
      <w:r>
        <w:t xml:space="preserve">5.6 Kết luận</w:t>
      </w:r>
    </w:p>
    <w:bookmarkStart w:id="308"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18"/>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18"/>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18"/>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18"/>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18"/>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8"/>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8"/>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mất cấu trúc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18"/>
        </w:numPr>
      </w:pPr>
      <w:r>
        <w:rPr>
          <w:bCs/>
          <w:b/>
        </w:rPr>
        <w:t xml:space="preserve">P8</w:t>
      </w:r>
      <w:r>
        <w:t xml:space="preserve">: phân tích bảy nền kinh tế đảo nhỏ đang phát triển Thái Bình Dương (loại Timor-Leste theo phân loại WB/UN;</w:t>
      </w:r>
      <w:r>
        <w:t xml:space="preserve"> </w:t>
      </w:r>
      <m:oMath>
        <m:r>
          <m:t>N</m:t>
        </m:r>
        <m:r>
          <m:rPr>
            <m:sty m:val="p"/>
          </m:rPr>
          <m:t>=</m:t>
        </m:r>
        <m:r>
          <m:t>1.450</m:t>
        </m:r>
      </m:oMath>
      <w:r>
        <w:t xml:space="preserve">, bảy cụm), phát hiện vững là</w:t>
      </w:r>
      <w:r>
        <w:t xml:space="preserve"> </w:t>
      </w:r>
      <w:r>
        <w:rPr>
          <w:bCs/>
          <w:b/>
        </w:rPr>
        <w:t xml:space="preserve">việc dạng chữ U ngược mất cấu trúc</w:t>
      </w:r>
      <w:r>
        <w:t xml:space="preserve"> </w:t>
      </w:r>
      <w:r>
        <w:t xml:space="preserve">—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18"/>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Bậc 2 (UPI) âm, bằng chứng đầu tiên rằng chuyển đổi thể chế cực mạnh có thể hòa tan chứ không chỉ dịch chuyển ngưỡng.</w:t>
      </w:r>
    </w:p>
    <w:p>
      <w:pPr>
        <w:numPr>
          <w:ilvl w:val="0"/>
          <w:numId w:val="1018"/>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18"/>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308"/>
    <w:bookmarkStart w:id="309"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Thể chế quy định không chỉ độ lớn mà cả dấu và dạng hình của quan hệ quốc tế hóa và hiệu quả: không tồn tại một mức độ quốc tế hóa tối ưu duy nhất, điểm uốn dịch chuyển theo vị trí thể chế, và tại cực trị thể chế, toàn bộ dạng chữ U ngược ngừng áp dụng, quan hệ nghiêng về bất lợi đơn điệu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phổ thể chế (Nhóm IV, điểm uốn khoảng 43%), duỗi thẳng gần tuyến tính ở biên trên nơi thể chế mạnh đẩy điểm uốn ra mức cường độ xuất khẩu rất cao (Singapore khoảng 88,6%, gần hoặc vượt biên dữ liệu quan sát), và mất cấu trúc ở biên dưới nơi thể chế yếu nhất; nghĩa là thể chế càng mạnh, doanh nghiệp càng duy trì lợi ích từ quốc tế hóa đến mức cường độ cao hơn trước khi đạt đỉnh.</w:t>
      </w:r>
    </w:p>
    <w:bookmarkEnd w:id="309"/>
    <w:bookmarkStart w:id="310"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310"/>
    <w:bookmarkStart w:id="311" w:name="lời-kết"/>
    <w:p>
      <w:pPr>
        <w:pStyle w:val="Heading3"/>
      </w:pPr>
      <w:r>
        <w:t xml:space="preserve">5.6.4 Lời kết</w:t>
      </w:r>
    </w:p>
    <w:p>
      <w:pPr>
        <w:pStyle w:val="FirstParagraph"/>
      </w:pPr>
      <w:r>
        <w:t xml:space="preserve">Luận án này bắt đầu từ câu hỏi đơn giản: quốc tế hóa có cải thiện hiệu quả hoạt động kinh doanh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p>
      <w:r>
        <w:br w:type="page"/>
      </w:r>
    </w:p>
    <w:bookmarkEnd w:id="311"/>
    <w:bookmarkEnd w:id="312"/>
    <w:bookmarkStart w:id="313"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hoạt động kinh doanh của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Hitt, M. A., Tihanyi, L., Miller, T., &amp; Connelly, B. (2006). International diversification: Antecedents, outcomes, and moderators.</w:t>
      </w:r>
      <w:r>
        <w:t xml:space="preserve"> </w:t>
      </w:r>
      <w:r>
        <w:rPr>
          <w:iCs/>
          <w:i/>
        </w:rPr>
        <w:t xml:space="preserve">Journal of Management, 32</w:t>
      </w:r>
      <w:r>
        <w:t xml:space="preserve">(6), 831–867. https://doi.org/10.1177/0149206306293575</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Hunter, J. E., &amp; Schmidt, F. L. (2004).</w:t>
      </w:r>
      <w:r>
        <w:t xml:space="preserve"> </w:t>
      </w:r>
      <w:r>
        <w:rPr>
          <w:iCs/>
          <w:i/>
        </w:rPr>
        <w:t xml:space="preserve">Methods of meta-analysis: Correcting error and bias in research findings</w:t>
      </w:r>
      <w:r>
        <w:t xml:space="preserve"> </w:t>
      </w:r>
      <w:r>
        <w:t xml:space="preserve">(2nd ed.). Sage.</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in preparation].</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(2001). The resource-based view and international business.</w:t>
      </w:r>
      <w:r>
        <w:t xml:space="preserve"> </w:t>
      </w:r>
      <w:r>
        <w:rPr>
          <w:iCs/>
          <w:i/>
        </w:rPr>
        <w:t xml:space="preserve">Journal of Management, 27</w:t>
      </w:r>
      <w:r>
        <w:t xml:space="preserve">(6), 803–829. https://doi.org/10.1177/014920630102700604</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C., Cuervo-Cazurra, A., &amp; Brannen, M. Y. (2011). From the Editors: Explaining theoretical relationships in international business research: Focusing on the arrows, NOT the boxes.</w:t>
      </w:r>
      <w:r>
        <w:t xml:space="preserve"> </w:t>
      </w:r>
      <w:r>
        <w:rPr>
          <w:iCs/>
          <w:i/>
        </w:rPr>
        <w:t xml:space="preserve">Journal of International Business Studies, 42</w:t>
      </w:r>
      <w:r>
        <w:t xml:space="preserve">(9), 1073–1080. https://doi.org/10.1057/jibs.2011.47</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r>
        <w:br w:type="page"/>
      </w:r>
    </w:p>
    <w:bookmarkEnd w:id="313"/>
    <w:bookmarkStart w:id="324"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314"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314"/>
    <w:bookmarkStart w:id="315"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315"/>
    <w:bookmarkStart w:id="316"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thành phần dữ liệu bảng (panel), khu vực phi chính thức,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phân tích 50 nền =</w:t>
            </w:r>
            <w:r>
              <w:t xml:space="preserve"> </w:t>
            </w:r>
            <w:r>
              <w:rPr>
                <w:bCs/>
                <w:b/>
              </w:rPr>
              <w:t xml:space="preserve">88.869</w:t>
            </w:r>
            <w:r>
              <w:t xml:space="preserve"> </w:t>
            </w:r>
            <w:r>
              <w:t xml:space="preserve">DN / 103 cặp nền-năm</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listwise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lockText"/>
      </w:pPr>
      <w:r>
        <w:rPr>
          <w:bCs/>
          <w:b/>
        </w:rPr>
        <w:t xml:space="preserve">Lưu ý về khung mô tả LP-valid (Bảng 4.1, Chương 4).</w:t>
      </w:r>
      <w:r>
        <w:t xml:space="preserve"> </w:t>
      </w:r>
      <w:r>
        <w:t xml:space="preserve">Thống kê mô tả ở Chương 4</w:t>
      </w:r>
      <w:r>
        <w:t xml:space="preserve"> </w:t>
      </w:r>
      <w:r>
        <w:t xml:space="preserve">dựa trên</w:t>
      </w:r>
      <w:r>
        <w:t xml:space="preserve"> </w:t>
      </w:r>
      <w:r>
        <w:rPr>
          <w:bCs/>
          <w:b/>
        </w:rPr>
        <w:t xml:space="preserve">khung mô tả năng suất lao động hợp lệ (LP-valid)</w:t>
      </w:r>
      <w:r>
        <w:t xml:space="preserve"> </w:t>
      </w:r>
      <w:r>
        <w:t xml:space="preserve">=</w:t>
      </w:r>
      <w:r>
        <w:t xml:space="preserve"> </w:t>
      </w:r>
      <w:r>
        <w:rPr>
          <w:bCs/>
          <w:b/>
        </w:rPr>
        <w:t xml:space="preserve">84.998 DN / 50 nền /</w:t>
      </w:r>
      <w:r>
        <w:rPr>
          <w:bCs/>
          <w:b/>
        </w:rPr>
        <w:t xml:space="preserve"> </w:t>
      </w:r>
      <w:r>
        <w:rPr>
          <w:bCs/>
          <w:b/>
        </w:rPr>
        <w:t xml:space="preserve">107 cặp nền-năm</w:t>
      </w:r>
      <w:r>
        <w:t xml:space="preserve">, dựng bằng pipeline mô tả chuẩn (</w:t>
      </w:r>
      <w:r>
        <w:rPr>
          <w:rStyle w:val="VerbatimChar"/>
        </w:rPr>
        <w:t xml:space="preserve">scripts/relock_descriptives_canonical.py</w:t>
      </w:r>
      <w:r>
        <w:t xml:space="preserve">).</w:t>
      </w:r>
      <w:r>
        <w:t xml:space="preserve"> </w:t>
      </w:r>
      <w:r>
        <w:t xml:space="preserve">Khung này</w:t>
      </w:r>
      <w:r>
        <w:t xml:space="preserve"> </w:t>
      </w:r>
      <w:r>
        <w:rPr>
          <w:bCs/>
          <w:b/>
        </w:rPr>
        <w:t xml:space="preserve">không lồng</w:t>
      </w:r>
      <w:r>
        <w:t xml:space="preserve"> </w:t>
      </w:r>
      <w:r>
        <w:t xml:space="preserve">trong khung phân tích 88.869/103 cặp ở S5–S6 vì hai tiêu chí</w:t>
      </w:r>
      <w:r>
        <w:t xml:space="preserve"> </w:t>
      </w:r>
      <w:r>
        <w:t xml:space="preserve">đưa vào khác nhau: (i) khung mô tả chỉ đòi hỏi</w:t>
      </w:r>
      <w:r>
        <w:t xml:space="preserve"> </w:t>
      </w:r>
      <w:r>
        <w:rPr>
          <w:bCs/>
          <w:b/>
        </w:rPr>
        <w:t xml:space="preserve">năng suất lao động hợp lệ</w:t>
      </w:r>
      <w:r>
        <w:t xml:space="preserve"> </w:t>
      </w:r>
      <w:r>
        <w:t xml:space="preserve">(winsorize</w:t>
      </w:r>
      <w:r>
        <w:t xml:space="preserve"> </w:t>
      </w:r>
      <w:r>
        <w:t xml:space="preserve">1/99 trong từng cặp nền–năm), nên trải trên</w:t>
      </w:r>
      <w:r>
        <w:t xml:space="preserve"> </w:t>
      </w:r>
      <w:r>
        <w:rPr>
          <w:bCs/>
          <w:b/>
        </w:rPr>
        <w:t xml:space="preserve">107</w:t>
      </w:r>
      <w:r>
        <w:t xml:space="preserve"> </w:t>
      </w:r>
      <w:r>
        <w:t xml:space="preserve">cặp — thêm 4 cặp nền-năm thưa có</w:t>
      </w:r>
      <w:r>
        <w:t xml:space="preserve"> </w:t>
      </w:r>
      <w:r>
        <w:t xml:space="preserve">doanh nghiệp LP hợp lệ nhưng bị khung hồi quy loại do thiếu biến kiểm soát trọng tâm;</w:t>
      </w:r>
      <w:r>
        <w:t xml:space="preserve"> </w:t>
      </w:r>
      <w:r>
        <w:t xml:space="preserve">(ii) khung phân tích 103 cặp đòi hỏi</w:t>
      </w:r>
      <w:r>
        <w:t xml:space="preserve"> </w:t>
      </w:r>
      <w:r>
        <w:rPr>
          <w:bCs/>
          <w:b/>
        </w:rPr>
        <w:t xml:space="preserve">đủ cả biến phụ thuộc lẫn biến giải thích cốt lõi</w:t>
      </w:r>
      <w:r>
        <w:t xml:space="preserve">,</w:t>
      </w:r>
      <w:r>
        <w:t xml:space="preserve"> </w:t>
      </w:r>
      <w:r>
        <w:t xml:space="preserve">nên có ít cặp hơn nhưng nhiều doanh nghiệp hơn (88.869). Vì vậy hai con số 103 và 107</w:t>
      </w:r>
      <w:r>
        <w:t xml:space="preserve"> </w:t>
      </w:r>
      <w:r>
        <w:rPr>
          <w:bCs/>
          <w:b/>
        </w:rPr>
        <w:t xml:space="preserve">không mâu thuẫn</w:t>
      </w:r>
      <w:r>
        <w:t xml:space="preserve"> </w:t>
      </w:r>
      <w:r>
        <w:t xml:space="preserve">mà phản ánh hai lớp khung phục vụ hai mục đích (mô tả vs hồi quy).</w:t>
      </w:r>
    </w:p>
    <w:p>
      <w:pPr>
        <w:pStyle w:val="FirstParagraph"/>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316"/>
    <w:bookmarkStart w:id="317"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phân hệ cốt lõi bất biến của bộ công cụ WBES</w:t>
      </w:r>
      <w:r>
        <w:t xml:space="preserve"> </w:t>
      </w:r>
      <w:r>
        <w:t xml:space="preserve">toàn cầu (World Bank, 2019). Các biến trọng tâm và quy tắc xây dựng:</w:t>
      </w:r>
    </w:p>
    <w:p>
      <w:pPr>
        <w:numPr>
          <w:ilvl w:val="0"/>
          <w:numId w:val="1019"/>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19"/>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19"/>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19"/>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317"/>
    <w:bookmarkStart w:id="318"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20"/>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20"/>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phổ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318"/>
    <w:bookmarkStart w:id="319"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dữ liệu bảng, ước lượng tuân theo khung</w:t>
      </w:r>
      <w:r>
        <w:t xml:space="preserve"> </w:t>
      </w:r>
      <w:r>
        <w:rPr>
          <w:bCs/>
          <w:b/>
        </w:rPr>
        <w:t xml:space="preserve">gộp lát cắt ngang (pooled</w:t>
      </w:r>
      <w:r>
        <w:rPr>
          <w:bCs/>
          <w:b/>
        </w:rPr>
        <w:t xml:space="preserve"> </w:t>
      </w:r>
      <w:r>
        <w:rPr>
          <w:bCs/>
          <w:b/>
        </w:rPr>
        <w:t xml:space="preserve">cross-section) với hiệu ứng cố định</w:t>
      </w:r>
      <w:r>
        <w:t xml:space="preserve"> </w:t>
      </w:r>
      <w:r>
        <w:t xml:space="preserve">thay vì mô hình bảng động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319"/>
    <w:bookmarkStart w:id="320"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320"/>
    <w:bookmarkStart w:id="321"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321"/>
    <w:bookmarkStart w:id="322"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mô hình và kiểm tra tính ổn định của</w:t>
      </w:r>
      <w:r>
        <w:t xml:space="preserve"> </w:t>
      </w:r>
      <w:r>
        <w:t xml:space="preserve">điểm uốn để bảo đảm kết quả không bị chi phối bởi cơ chế khuyết (Little &amp; Rubin, 2019).</w:t>
      </w:r>
    </w:p>
    <w:bookmarkEnd w:id="322"/>
    <w:bookmarkStart w:id="323"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biến đại diện (proxy) cho hiệu quả, không phải</w:t>
      </w:r>
      <w:r>
        <w:t xml:space="preserve"> </w:t>
      </w:r>
      <w:r>
        <w:t xml:space="preserve">TFPR trực tiếp; (iii) đo lường DAI bị giới hạn ở biến đại diện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21"/>
        </w:numPr>
        <w:pStyle w:val="Compact"/>
      </w:pPr>
      <w:r>
        <w:rPr>
          <w:rStyle w:val="VerbatimChar"/>
        </w:rPr>
        <w:t xml:space="preserve">scripts/build_pooled_dataset.py</w:t>
      </w:r>
    </w:p>
    <w:p>
      <w:pPr>
        <w:numPr>
          <w:ilvl w:val="0"/>
          <w:numId w:val="1021"/>
        </w:numPr>
        <w:pStyle w:val="Compact"/>
      </w:pPr>
      <w:r>
        <w:rPr>
          <w:rStyle w:val="VerbatimChar"/>
        </w:rPr>
        <w:t xml:space="preserve">scripts/wbes_canon.py</w:t>
      </w:r>
    </w:p>
    <w:p>
      <w:pPr>
        <w:numPr>
          <w:ilvl w:val="0"/>
          <w:numId w:val="1021"/>
        </w:numPr>
        <w:pStyle w:val="Compact"/>
      </w:pPr>
      <w:r>
        <w:rPr>
          <w:rStyle w:val="VerbatimChar"/>
        </w:rPr>
        <w:t xml:space="preserve">scripts/cd1_descriptives_pipeline.py</w:t>
      </w:r>
    </w:p>
    <w:p>
      <w:pPr>
        <w:numPr>
          <w:ilvl w:val="0"/>
          <w:numId w:val="1021"/>
        </w:numPr>
        <w:pStyle w:val="Compact"/>
      </w:pPr>
      <w:r>
        <w:rPr>
          <w:rStyle w:val="VerbatimChar"/>
        </w:rPr>
        <w:t xml:space="preserve">data_wbes/analysis/pooled_dataflow.csv</w:t>
      </w:r>
    </w:p>
    <w:p>
      <w:pPr>
        <w:numPr>
          <w:ilvl w:val="0"/>
          <w:numId w:val="1021"/>
        </w:numPr>
        <w:pStyle w:val="Compact"/>
      </w:pPr>
      <w:r>
        <w:rPr>
          <w:rStyle w:val="VerbatimChar"/>
        </w:rPr>
        <w:t xml:space="preserve">DATA_UPDATE_MANIFEST.md</w:t>
      </w:r>
    </w:p>
    <w:p>
      <w:pPr>
        <w:numPr>
          <w:ilvl w:val="0"/>
          <w:numId w:val="1021"/>
        </w:numPr>
        <w:pStyle w:val="Compact"/>
      </w:pPr>
      <w:r>
        <w:rPr>
          <w:rStyle w:val="VerbatimChar"/>
        </w:rPr>
        <w:t xml:space="preserve">CANONICAL_RECONCILIATION.md</w:t>
      </w:r>
    </w:p>
    <w:p>
      <w:r>
        <w:br w:type="page"/>
      </w:r>
    </w:p>
    <w:bookmarkEnd w:id="323"/>
    <w:bookmarkEnd w:id="324"/>
    <w:bookmarkStart w:id="330" w:name="X86341329d4ca9e5afda73fb4c3b7168d5c43eb3"/>
    <w:p>
      <w:pPr>
        <w:pStyle w:val="Heading1"/>
      </w:pPr>
      <w:r>
        <w:t xml:space="preserve">PHỤ LỤC B: CÔNG CỤ TRÍCH XUẤT DỮ LIỆU META-ANALYSIS M-AIDA</w:t>
      </w:r>
    </w:p>
    <w:p>
      <w:pPr>
        <w:pStyle w:val="BlockText"/>
      </w:pPr>
      <w:r>
        <w:t xml:space="preserve">Phụ lục này mô tả phần mềm</w:t>
      </w:r>
      <w:r>
        <w:t xml:space="preserve"> </w:t>
      </w:r>
      <w:r>
        <w:rPr>
          <w:bCs/>
          <w:b/>
        </w:rPr>
        <w:t xml:space="preserve">M-AIDA</w:t>
      </w:r>
      <w:r>
        <w:t xml:space="preserve"> </w:t>
      </w:r>
      <w:r>
        <w:t xml:space="preserve">(Meta-Analysis Intelligent Data Assistant,</w:t>
      </w:r>
      <w:r>
        <w:t xml:space="preserve"> </w:t>
      </w:r>
      <w:r>
        <w:t xml:space="preserve">phiên bản 7.0) — công cụ do chính nghiên cứu sinh phát triển và đã nộp hồ sơ đăng ký</w:t>
      </w:r>
      <w:r>
        <w:t xml:space="preserve"> </w:t>
      </w:r>
      <w:r>
        <w:t xml:space="preserve">quyền tác giả, dùng để trích xuất và quản trị dữ liệu cỡ ảnh hưởng cho cấu phần phân</w:t>
      </w:r>
      <w:r>
        <w:t xml:space="preserve"> </w:t>
      </w:r>
      <w:r>
        <w:t xml:space="preserve">tích tổng hợp của luận án (Nghiên cứu thành phần P6). Phụ lục được trình bày như</w:t>
      </w:r>
      <w:r>
        <w:t xml:space="preserve"> </w:t>
      </w:r>
      <w:r>
        <w:rPr>
          <w:bCs/>
          <w:b/>
        </w:rPr>
        <w:t xml:space="preserve">một</w:t>
      </w:r>
      <w:r>
        <w:rPr>
          <w:bCs/>
          <w:b/>
        </w:rPr>
        <w:t xml:space="preserve"> </w:t>
      </w:r>
      <w:r>
        <w:rPr>
          <w:bCs/>
          <w:b/>
        </w:rPr>
        <w:t xml:space="preserve">cấu phần minh bạch phương pháp luận</w:t>
      </w:r>
      <w:r>
        <w:t xml:space="preserve">, nhằm bảo đảm khả năng tái lập, công bố sử dụng</w:t>
      </w:r>
      <w:r>
        <w:t xml:space="preserve"> </w:t>
      </w:r>
      <w:r>
        <w:t xml:space="preserve">trí tuệ nhân tạo, và khả năng phản biện trước hội đồng.</w:t>
      </w:r>
    </w:p>
    <w:bookmarkStart w:id="325" w:name="X6d93590c0a3fbf80b7f247fba2520689e8b440a"/>
    <w:p>
      <w:pPr>
        <w:pStyle w:val="Heading2"/>
      </w:pPr>
      <w:r>
        <w:t xml:space="preserve">B.1 Mục đích và vị trí trong thiết kế nghiên cứu</w:t>
      </w:r>
    </w:p>
    <w:p>
      <w:pPr>
        <w:pStyle w:val="FirstParagraph"/>
      </w:pPr>
      <w:r>
        <w:t xml:space="preserve">Cấu phần phân tích tổng hợp (Mục 3.2) tổng hợp K=288 cỡ ảnh hưởng từ k=238 nghiên cứu</w:t>
      </w:r>
      <w:r>
        <w:t xml:space="preserve"> </w:t>
      </w:r>
      <w:r>
        <w:t xml:space="preserve">thực nghiệm về quan hệ quốc tế hóa–hiệu quả (I–P) giai đoạn 1977–2026. Trích xuất thủ</w:t>
      </w:r>
      <w:r>
        <w:t xml:space="preserve"> </w:t>
      </w:r>
      <w:r>
        <w:t xml:space="preserve">công thuần túy ở quy mô này vừa tốn kém vừa dễ phát sinh sai số ghi chép; ngược lại, trích</w:t>
      </w:r>
      <w:r>
        <w:t xml:space="preserve"> </w:t>
      </w:r>
      <w:r>
        <w:t xml:space="preserve">xuất hoàn toàn tự động bằng mô hình ngôn ngữ lớn (LLM) lại tiềm ẩn rủi ro</w:t>
      </w:r>
      <w:r>
        <w:t xml:space="preserve"> </w:t>
      </w:r>
      <w:r>
        <w:t xml:space="preserve">“</w:t>
      </w:r>
      <w:r>
        <w:t xml:space="preserve">ảo giác</w:t>
      </w:r>
      <w:r>
        <w:t xml:space="preserve">”</w:t>
      </w:r>
      <w:r>
        <w:t xml:space="preserve"> </w:t>
      </w:r>
      <w:r>
        <w:t xml:space="preserve">số liệu</w:t>
      </w:r>
      <w:r>
        <w:t xml:space="preserve"> </w:t>
      </w:r>
      <w:r>
        <w:t xml:space="preserve">và thiếu dấu vết kiểm toán. M-AIDA được thiết kế để dung hòa: tận dụng tốc độ của LLM cho</w:t>
      </w:r>
      <w:r>
        <w:t xml:space="preserve"> </w:t>
      </w:r>
      <w:r>
        <w:t xml:space="preserve">khâu đọc–trích, đồng thời đặt</w:t>
      </w:r>
      <w:r>
        <w:t xml:space="preserve"> </w:t>
      </w:r>
      <w:r>
        <w:rPr>
          <w:bCs/>
          <w:b/>
        </w:rPr>
        <w:t xml:space="preserve">toàn bộ quyền quyết định cuối cùng vào tay nghiên cứu sinh</w:t>
      </w:r>
      <w:r>
        <w:t xml:space="preserve"> </w:t>
      </w:r>
      <w:r>
        <w:t xml:space="preserve">(Principal Investigator, PI) thông qua quy trình xác minh và khóa dữ liệu bất biến.</w:t>
      </w:r>
    </w:p>
    <w:bookmarkEnd w:id="325"/>
    <w:bookmarkStart w:id="326" w:name="b.2-kiến-trúc-phần-mềm"/>
    <w:p>
      <w:pPr>
        <w:pStyle w:val="Heading2"/>
      </w:pPr>
      <w:r>
        <w:t xml:space="preserve">B.2 Kiến trúc phần mềm</w:t>
      </w:r>
    </w:p>
    <w:p>
      <w:pPr>
        <w:pStyle w:val="FirstParagraph"/>
      </w:pPr>
      <w:r>
        <w:t xml:space="preserve">M-AIDA gồm hai thành phần, giao tiếp qua REST API:</w:t>
      </w:r>
    </w:p>
    <w:p>
      <w:pPr>
        <w:numPr>
          <w:ilvl w:val="0"/>
          <w:numId w:val="1022"/>
        </w:numPr>
        <w:pStyle w:val="Compact"/>
      </w:pPr>
      <w:r>
        <w:rPr>
          <w:bCs/>
          <w:b/>
        </w:rPr>
        <w:t xml:space="preserve">Backend — FastAPI (Python 3.11+).</w:t>
      </w:r>
      <w:r>
        <w:t xml:space="preserve"> </w:t>
      </w:r>
      <w:r>
        <w:t xml:space="preserve">Các mô-đun chính:</w:t>
      </w:r>
      <w:r>
        <w:t xml:space="preserve"> </w:t>
      </w:r>
      <w:r>
        <w:rPr>
          <w:rStyle w:val="VerbatimChar"/>
        </w:rPr>
        <w:t xml:space="preserve">extractor.py</w:t>
      </w:r>
      <w:r>
        <w:t xml:space="preserve"> </w:t>
      </w:r>
      <w:r>
        <w:t xml:space="preserve">(lớp</w:t>
      </w:r>
      <w:r>
        <w:t xml:space="preserve"> </w:t>
      </w:r>
      <w:r>
        <w:rPr>
          <w:rStyle w:val="VerbatimChar"/>
        </w:rPr>
        <w:t xml:space="preserve">StatisticalExtractor</w:t>
      </w:r>
      <w:r>
        <w:t xml:space="preserve">: pipeline LLM trích cỡ ảnh hưởng từ văn bản PDF),</w:t>
      </w:r>
      <w:r>
        <w:t xml:space="preserve"> </w:t>
      </w:r>
      <w:r>
        <w:rPr>
          <w:rStyle w:val="VerbatimChar"/>
        </w:rPr>
        <w:t xml:space="preserve">models.py</w:t>
      </w:r>
      <w:r>
        <w:t xml:space="preserve"> </w:t>
      </w:r>
      <w:r>
        <w:t xml:space="preserve">(các mô hình dữ liệu Pydantic:</w:t>
      </w:r>
      <w:r>
        <w:t xml:space="preserve"> </w:t>
      </w:r>
      <w:r>
        <w:rPr>
          <w:rStyle w:val="VerbatimChar"/>
        </w:rPr>
        <w:t xml:space="preserve">ExtractedEffect</w:t>
      </w:r>
      <w:r>
        <w:t xml:space="preserve">,</w:t>
      </w:r>
      <w:r>
        <w:t xml:space="preserve"> </w:t>
      </w:r>
      <w:r>
        <w:rPr>
          <w:rStyle w:val="VerbatimChar"/>
        </w:rPr>
        <w:t xml:space="preserve">StudyDatabaseEntry</w:t>
      </w:r>
      <w:r>
        <w:t xml:space="preserve">,</w:t>
      </w:r>
      <w:r>
        <w:t xml:space="preserve"> </w:t>
      </w:r>
      <w:r>
        <w:rPr>
          <w:rStyle w:val="VerbatimChar"/>
        </w:rPr>
        <w:t xml:space="preserve">VerificationDecision</w:t>
      </w:r>
      <w:r>
        <w:t xml:space="preserve">),</w:t>
      </w:r>
      <w:r>
        <w:t xml:space="preserve"> </w:t>
      </w:r>
      <w:r>
        <w:rPr>
          <w:rStyle w:val="VerbatimChar"/>
        </w:rPr>
        <w:t xml:space="preserve">settings.py</w:t>
      </w:r>
      <w:r>
        <w:t xml:space="preserve"> </w:t>
      </w:r>
      <w:r>
        <w:t xml:space="preserve">(cấu hình runtime),</w:t>
      </w:r>
      <w:r>
        <w:t xml:space="preserve"> </w:t>
      </w:r>
      <w:r>
        <w:rPr>
          <w:rStyle w:val="VerbatimChar"/>
        </w:rPr>
        <w:t xml:space="preserve">notion_sync.py</w:t>
      </w:r>
      <w:r>
        <w:t xml:space="preserve"> </w:t>
      </w:r>
      <w:r>
        <w:t xml:space="preserve">(đồng bộ</w:t>
      </w:r>
      <w:r>
        <w:t xml:space="preserve"> </w:t>
      </w:r>
      <w:r>
        <w:t xml:space="preserve">cơ sở dữ liệu nghiên cứu). Thư viện xử lý: PyMuPDF (đọc PDF), Anthropic Claude SDK</w:t>
      </w:r>
      <w:r>
        <w:t xml:space="preserve"> </w:t>
      </w:r>
      <w:r>
        <w:t xml:space="preserve">(pipeline LLM), pandas/numpy/scipy (xử lý thống kê).</w:t>
      </w:r>
    </w:p>
    <w:p>
      <w:pPr>
        <w:numPr>
          <w:ilvl w:val="0"/>
          <w:numId w:val="1022"/>
        </w:numPr>
        <w:pStyle w:val="Compact"/>
      </w:pPr>
      <w:r>
        <w:rPr>
          <w:bCs/>
          <w:b/>
        </w:rPr>
        <w:t xml:space="preserve">Frontend — React 18 + TypeScript.</w:t>
      </w:r>
      <w:r>
        <w:t xml:space="preserve"> </w:t>
      </w:r>
      <w:r>
        <w:t xml:space="preserve">Bố cục hai thẻ: thẻ</w:t>
      </w:r>
      <w:r>
        <w:t xml:space="preserve"> </w:t>
      </w:r>
      <w:r>
        <w:rPr>
          <w:iCs/>
          <w:i/>
        </w:rPr>
        <w:t xml:space="preserve">Trích xuất</w:t>
      </w:r>
      <w:r>
        <w:t xml:space="preserve"> </w:t>
      </w:r>
      <w:r>
        <w:t xml:space="preserve">(upload PDF,</w:t>
      </w:r>
      <w:r>
        <w:t xml:space="preserve"> </w:t>
      </w:r>
      <w:r>
        <w:t xml:space="preserve">hiển thị kết quả LLM) và thẻ</w:t>
      </w:r>
      <w:r>
        <w:t xml:space="preserve"> </w:t>
      </w:r>
      <w:r>
        <w:rPr>
          <w:iCs/>
          <w:i/>
        </w:rPr>
        <w:t xml:space="preserve">Xác minh &amp; Khóa</w:t>
      </w:r>
      <w:r>
        <w:t xml:space="preserve"> </w:t>
      </w:r>
      <w:r>
        <w:t xml:space="preserve">(bảng điều khiển để PI rà soát, ghi đè,</w:t>
      </w:r>
      <w:r>
        <w:t xml:space="preserve"> </w:t>
      </w:r>
      <w:r>
        <w:t xml:space="preserve">phê duyệt và khóa từng nghiên cứu), kèm chức năng xuất CSV các nghiên cứu đã khóa.</w:t>
      </w:r>
    </w:p>
    <w:bookmarkEnd w:id="326"/>
    <w:bookmarkStart w:id="327" w:name="Xd490646ae04433afd3fe47be003ca47685bcf6d"/>
    <w:p>
      <w:pPr>
        <w:pStyle w:val="Heading2"/>
      </w:pPr>
      <w:r>
        <w:t xml:space="preserve">B.3 Quy trình trích xuất và chuyển đổi cỡ ảnh hưởng</w:t>
      </w:r>
    </w:p>
    <w:p>
      <w:pPr>
        <w:pStyle w:val="FirstParagraph"/>
      </w:pPr>
      <w:r>
        <w:t xml:space="preserve">Với mỗi PDF, M-AIDA đọc toàn văn bằng PyMuPDF rồi gửi tới LLM với một system prompt</w:t>
      </w:r>
      <w:r>
        <w:t xml:space="preserve"> </w:t>
      </w:r>
      <w:r>
        <w:t xml:space="preserve">chuyên biệt cho meta-analysis I–P, yêu cầu nhận diện: cỡ mẫu</w:t>
      </w:r>
      <w:r>
        <w:t xml:space="preserve"> </w:t>
      </w:r>
      <m:oMath>
        <m:r>
          <m:t>N</m:t>
        </m:r>
      </m:oMath>
      <w:r>
        <w:t xml:space="preserve">, hệ số tương quan</w:t>
      </w:r>
      <w:r>
        <w:t xml:space="preserve"> </w:t>
      </w:r>
      <w:r>
        <w:t xml:space="preserve">Pearson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w:t>
      </w:r>
      <w:r>
        <w:t xml:space="preserve"> </w:t>
      </w:r>
      <w:r>
        <w:t xml:space="preserve">khoảng tin cậy 95%; đồng thời phân loại hai chiều xác định được từ văn bản (thước đo</w:t>
      </w:r>
      <w:r>
        <w:t xml:space="preserve"> </w:t>
      </w:r>
      <w:r>
        <w:t xml:space="preserve">quốc tế hóa: FSTS/GEO/EXP/FDI/COMP/OTH; thước đo hiệu quả: ACC/MKT/LAB/MIX) và cửa sổ</w:t>
      </w:r>
      <w:r>
        <w:t xml:space="preserve"> </w:t>
      </w:r>
      <w:r>
        <w:t xml:space="preserve">dữ liệu. Khi chỉ có thống kê phái sinh, hệ thống chuyển đổi về</w:t>
      </w:r>
      <w:r>
        <w:t xml:space="preserve"> </w:t>
      </w:r>
      <m:oMath>
        <m:r>
          <m:t>r</m:t>
        </m:r>
      </m:oMath>
      <w:r>
        <w:t xml:space="preserve"> </w:t>
      </w:r>
      <w:r>
        <w:t xml:space="preserve">theo chuẩn:</w:t>
      </w:r>
    </w:p>
    <w:p>
      <w:pPr>
        <w:pStyle w:val="BodyText"/>
      </w:pPr>
      <m:oMathPara>
        <m:oMathParaPr>
          <m:jc m:val="center"/>
        </m:oMathParaPr>
        <m:oMath>
          <m:r>
            <m:t>r</m:t>
          </m:r>
          <m:r>
            <m:rPr>
              <m:sty m:val="p"/>
            </m:rPr>
            <m:t>=</m:t>
          </m:r>
          <m:rad>
            <m:radPr>
              <m:degHide m:val="on"/>
            </m:radPr>
            <m:deg/>
            <m:e>
              <m:f>
                <m:fPr>
                  <m:type m:val="bar"/>
                </m:fPr>
                <m:num>
                  <m:sSup>
                    <m:e>
                      <m:r>
                        <m:t>t</m:t>
                      </m:r>
                    </m:e>
                    <m:sup>
                      <m:r>
                        <m:t>2</m:t>
                      </m:r>
                    </m:sup>
                  </m:sSup>
                </m:num>
                <m:den>
                  <m:sSup>
                    <m:e>
                      <m:r>
                        <m:t>t</m:t>
                      </m:r>
                    </m:e>
                    <m:sup>
                      <m:r>
                        <m:t>2</m:t>
                      </m:r>
                    </m:sup>
                  </m:sSup>
                  <m:r>
                    <m:rPr>
                      <m:sty m:val="p"/>
                    </m:rPr>
                    <m:t>+</m:t>
                  </m:r>
                  <m:r>
                    <m:t>d</m:t>
                  </m:r>
                  <m:r>
                    <m:t>f</m:t>
                  </m:r>
                </m:den>
              </m:f>
            </m:e>
          </m:rad>
          <m:r>
            <m:t> </m:t>
          </m:r>
          <m:r>
            <m:rPr>
              <m:nor/>
              <m:sty m:val="p"/>
            </m:rPr>
            <m:t>(Cohen, 1988)</m:t>
          </m:r>
          <m:r>
            <m:rPr>
              <m:sty m:val="p"/>
            </m:rPr>
            <m:t>;</m:t>
          </m:r>
          <m:r>
            <m:t>  </m:t>
          </m:r>
          <m:r>
            <m:t>r</m:t>
          </m:r>
          <m:r>
            <m:rPr>
              <m:sty m:val="p"/>
            </m:rPr>
            <m:t>≈</m:t>
          </m:r>
          <m:r>
            <m:t>0</m:t>
          </m:r>
          <m:r>
            <m:rPr>
              <m:sty m:val="p"/>
            </m:rPr>
            <m:t>,</m:t>
          </m:r>
          <m:r>
            <m:t>98</m:t>
          </m:r>
          <m:r>
            <m:t> </m:t>
          </m:r>
          <m:r>
            <m:t>β</m:t>
          </m:r>
          <m:r>
            <m:t> </m:t>
          </m:r>
          <m:r>
            <m:rPr>
              <m:nor/>
              <m:sty m:val="p"/>
            </m:rPr>
            <m:t>(Peterson &amp;Brown, 2005)</m:t>
          </m:r>
          <m:r>
            <m:rPr>
              <m:sty m:val="p"/>
            </m:rPr>
            <m:t>.</m:t>
          </m:r>
        </m:oMath>
      </m:oMathPara>
    </w:p>
    <w:p>
      <w:pPr>
        <w:pStyle w:val="FirstParagraph"/>
      </w:pPr>
      <w:r>
        <w:t xml:space="preserve">Mỗi bản ghi được gán</w:t>
      </w:r>
      <w:r>
        <w:t xml:space="preserve"> </w:t>
      </w:r>
      <w:r>
        <w:rPr>
          <w:bCs/>
          <w:b/>
        </w:rPr>
        <w:t xml:space="preserve">điểm tin cậy trích xuất</w:t>
      </w:r>
      <w:r>
        <w:t xml:space="preserve"> </w:t>
      </w:r>
      <w:r>
        <w:t xml:space="preserve">ba mức: 1,0 (lấy trực tiếp</w:t>
      </w:r>
      <w:r>
        <w:t xml:space="preserve"> </w:t>
      </w:r>
      <m:oMath>
        <m:r>
          <m:t>r</m:t>
        </m:r>
      </m:oMath>
      <w:r>
        <w:t xml:space="preserve">), 0,8</w:t>
      </w:r>
      <w:r>
        <w:t xml:space="preserve"> </w:t>
      </w:r>
      <w:r>
        <w:t xml:space="preserve">(suy từ</w:t>
      </w:r>
      <w:r>
        <w:t xml:space="preserve"> </w:t>
      </w:r>
      <m:oMath>
        <m:r>
          <m:t>t</m:t>
        </m:r>
      </m:oMath>
      <w:r>
        <w:t xml:space="preserve">), 0,6 (suy từ</w:t>
      </w:r>
      <w:r>
        <w:t xml:space="preserve"> </w:t>
      </w:r>
      <m:oMath>
        <m:r>
          <m:t>β</m:t>
        </m:r>
      </m:oMath>
      <w:r>
        <w:t xml:space="preserve">); bản ghi có độ tin cậy dưới 0,7 tự động bị gắn cờ</w:t>
      </w:r>
      <w:r>
        <w:t xml:space="preserve"> </w:t>
      </w:r>
      <w:r>
        <w:rPr>
          <w:rStyle w:val="VerbatimChar"/>
        </w:rPr>
        <w:t xml:space="preserve">requires_verification</w:t>
      </w:r>
      <w:r>
        <w:t xml:space="preserve">.</w:t>
      </w:r>
    </w:p>
    <w:bookmarkEnd w:id="327"/>
    <w:bookmarkStart w:id="328" w:name="X2995f31ab8f3a55ab6f991c85d8b72cf0b230e7"/>
    <w:p>
      <w:pPr>
        <w:pStyle w:val="Heading2"/>
      </w:pPr>
      <w:r>
        <w:t xml:space="preserve">B.4 Quản trị dữ liệu: nguyên tắc tách bạch, xác minh PI và khóa bất biến</w:t>
      </w:r>
    </w:p>
    <w:p>
      <w:pPr>
        <w:pStyle w:val="FirstParagraph"/>
      </w:pPr>
      <w:r>
        <w:t xml:space="preserve">Ba nguyên tắc quản trị bảo đảm tính kiểm chứng độc lập và liêm chính:</w:t>
      </w:r>
    </w:p>
    <w:p>
      <w:pPr>
        <w:numPr>
          <w:ilvl w:val="0"/>
          <w:numId w:val="1023"/>
        </w:numPr>
        <w:pStyle w:val="Compact"/>
      </w:pPr>
      <w:r>
        <w:rPr>
          <w:bCs/>
          <w:b/>
        </w:rPr>
        <w:t xml:space="preserve">Tách bạch máy–người.</w:t>
      </w:r>
      <w:r>
        <w:t xml:space="preserve"> </w:t>
      </w:r>
      <w:r>
        <w:t xml:space="preserve">LLM</w:t>
      </w:r>
      <w:r>
        <w:t xml:space="preserve"> </w:t>
      </w:r>
      <w:r>
        <w:rPr>
          <w:bCs/>
          <w:b/>
        </w:rPr>
        <w:t xml:space="preserve">chỉ</w:t>
      </w:r>
      <w:r>
        <w:t xml:space="preserve"> </w:t>
      </w:r>
      <w:r>
        <w:t xml:space="preserve">trích thống kê. Các biến điều tiết thể chế của</w:t>
      </w:r>
      <w:r>
        <w:t xml:space="preserve"> </w:t>
      </w:r>
      <w:r>
        <w:t xml:space="preserve">luận án — chế độ ICRV (I/II/III/FR/MX theo WGI Rule of Law), pha DPL (PRE/SPN/FOL theo</w:t>
      </w:r>
      <w:r>
        <w:t xml:space="preserve"> </w:t>
      </w:r>
      <w:r>
        <w:t xml:space="preserve">năm dữ liệu trung vị) và chỉ số cDAI (Digital Adoption Index 0–1) —</w:t>
      </w:r>
      <w:r>
        <w:t xml:space="preserve"> </w:t>
      </w:r>
      <w:r>
        <w:rPr>
          <w:bCs/>
          <w:b/>
        </w:rPr>
        <w:t xml:space="preserve">do PI gán thủ</w:t>
      </w:r>
      <w:r>
        <w:rPr>
          <w:bCs/>
          <w:b/>
        </w:rPr>
        <w:t xml:space="preserve"> </w:t>
      </w:r>
      <w:r>
        <w:rPr>
          <w:bCs/>
          <w:b/>
        </w:rPr>
        <w:t xml:space="preserve">công từ bảng tra cứu ngoài</w:t>
      </w:r>
      <w:r>
        <w:t xml:space="preserve">, không để LLM suy đoán.</w:t>
      </w:r>
    </w:p>
    <w:p>
      <w:pPr>
        <w:numPr>
          <w:ilvl w:val="0"/>
          <w:numId w:val="1023"/>
        </w:numPr>
        <w:pStyle w:val="Compact"/>
      </w:pPr>
      <w:r>
        <w:rPr>
          <w:bCs/>
          <w:b/>
        </w:rPr>
        <w:t xml:space="preserve">Xác minh PI.</w:t>
      </w:r>
      <w:r>
        <w:t xml:space="preserve"> </w:t>
      </w:r>
      <w:r>
        <w:t xml:space="preserve">PI có thể áp</w:t>
      </w:r>
      <w:r>
        <w:t xml:space="preserve"> </w:t>
      </w:r>
      <w:r>
        <w:rPr>
          <w:rStyle w:val="VerbatimChar"/>
        </w:rPr>
        <w:t xml:space="preserve">field_overrides</w:t>
      </w:r>
      <w:r>
        <w:t xml:space="preserve"> </w:t>
      </w:r>
      <w:r>
        <w:t xml:space="preserve">lên bất kỳ trường nào của bản ghi và</w:t>
      </w:r>
      <w:r>
        <w:t xml:space="preserve"> </w:t>
      </w:r>
      <w:r>
        <w:t xml:space="preserve">ghi</w:t>
      </w:r>
      <w:r>
        <w:t xml:space="preserve"> </w:t>
      </w:r>
      <w:r>
        <w:rPr>
          <w:rStyle w:val="VerbatimChar"/>
        </w:rPr>
        <w:t xml:space="preserve">pi_notes</w:t>
      </w:r>
      <w:r>
        <w:t xml:space="preserve">; chỉ khi PI phê duyệt thì cờ</w:t>
      </w:r>
      <w:r>
        <w:t xml:space="preserve"> </w:t>
      </w:r>
      <w:r>
        <w:rPr>
          <w:rStyle w:val="VerbatimChar"/>
        </w:rPr>
        <w:t xml:space="preserve">requires_verification</w:t>
      </w:r>
      <w:r>
        <w:t xml:space="preserve"> </w:t>
      </w:r>
      <w:r>
        <w:t xml:space="preserve">mới chuyển sang</w:t>
      </w:r>
      <w:r>
        <w:t xml:space="preserve"> </w:t>
      </w:r>
      <w:r>
        <w:rPr>
          <w:rStyle w:val="VerbatimChar"/>
        </w:rPr>
        <w:t xml:space="preserve">False</w:t>
      </w:r>
      <w:r>
        <w:t xml:space="preserve">.</w:t>
      </w:r>
    </w:p>
    <w:p>
      <w:pPr>
        <w:numPr>
          <w:ilvl w:val="0"/>
          <w:numId w:val="1023"/>
        </w:numPr>
        <w:pStyle w:val="Compact"/>
      </w:pPr>
      <w:r>
        <w:rPr>
          <w:bCs/>
          <w:b/>
        </w:rPr>
        <w:t xml:space="preserve">Khóa bất biến (irreversible lock).</w:t>
      </w:r>
      <w:r>
        <w:t xml:space="preserve"> </w:t>
      </w:r>
      <w:r>
        <w:t xml:space="preserve">Bản ghi đã phê duyệt được khóa vĩnh viễn</w:t>
      </w:r>
      <w:r>
        <w:t xml:space="preserve"> </w:t>
      </w:r>
      <w:r>
        <w:t xml:space="preserve">(</w:t>
      </w:r>
      <w:r>
        <w:rPr>
          <w:rStyle w:val="VerbatimChar"/>
        </w:rPr>
        <w:t xml:space="preserve">pi_locked = True</w:t>
      </w:r>
      <w:r>
        <w:t xml:space="preserve">, kèm</w:t>
      </w:r>
      <w:r>
        <w:t xml:space="preserve"> </w:t>
      </w:r>
      <w:r>
        <w:rPr>
          <w:rStyle w:val="VerbatimChar"/>
        </w:rPr>
        <w:t xml:space="preserve">locked_at</w:t>
      </w:r>
      <w:r>
        <w:t xml:space="preserve"> </w:t>
      </w:r>
      <w:r>
        <w:t xml:space="preserve">theo giờ UTC); thao tác</w:t>
      </w:r>
      <w:r>
        <w:t xml:space="preserve"> </w:t>
      </w:r>
      <w:r>
        <w:rPr>
          <w:bCs/>
          <w:b/>
        </w:rPr>
        <w:t xml:space="preserve">không thể đảo ngược</w:t>
      </w:r>
      <w:r>
        <w:t xml:space="preserve">.</w:t>
      </w:r>
      <w:r>
        <w:t xml:space="preserve"> </w:t>
      </w:r>
      <w:r>
        <w:t xml:space="preserve">Chỉ các bản ghi đã khóa mới được xuất ra tập dữ liệu phân tích tổng hợp.</w:t>
      </w:r>
    </w:p>
    <w:p>
      <w:pPr>
        <w:pStyle w:val="FirstParagraph"/>
      </w:pPr>
      <w:r>
        <w:t xml:space="preserve">Cơ chế hai bước phê duyệt–khóa tạo</w:t>
      </w:r>
      <w:r>
        <w:t xml:space="preserve"> </w:t>
      </w:r>
      <w:r>
        <w:rPr>
          <w:bCs/>
          <w:b/>
        </w:rPr>
        <w:t xml:space="preserve">dấu vết kiểm toán (audit trail)</w:t>
      </w:r>
      <w:r>
        <w:t xml:space="preserve"> </w:t>
      </w:r>
      <w:r>
        <w:t xml:space="preserve">phân tách rõ phần</w:t>
      </w:r>
      <w:r>
        <w:t xml:space="preserve"> </w:t>
      </w:r>
      <w:r>
        <w:t xml:space="preserve">do máy trích xuất với phần do con người quyết định — đặc tính cốt lõi giúp kết quả meta-</w:t>
      </w:r>
      <w:r>
        <w:t xml:space="preserve"> </w:t>
      </w:r>
      <w:r>
        <w:t xml:space="preserve">analysis có thể tái lập và phản biện.</w:t>
      </w:r>
    </w:p>
    <w:bookmarkEnd w:id="328"/>
    <w:bookmarkStart w:id="329" w:name="X70bd36d09d5519c6a8efeaa4d46f4c4e0dca580"/>
    <w:p>
      <w:pPr>
        <w:pStyle w:val="Heading2"/>
      </w:pPr>
      <w:r>
        <w:t xml:space="preserve">B.5 Công bố sử dụng trí tuệ nhân tạo và liêm chính học thuật</w:t>
      </w:r>
    </w:p>
    <w:p>
      <w:pPr>
        <w:pStyle w:val="FirstParagraph"/>
      </w:pPr>
      <w:r>
        <w:t xml:space="preserve">Theo các khuyến nghị công bố sử dụng AI ngày càng phổ biến ở tạp chí học thuật, luận án</w:t>
      </w:r>
      <w:r>
        <w:t xml:space="preserve"> </w:t>
      </w:r>
      <w:r>
        <w:t xml:space="preserve">công bố minh bạch: (i) LLM được dùng</w:t>
      </w:r>
      <w:r>
        <w:t xml:space="preserve"> </w:t>
      </w:r>
      <w:r>
        <w:rPr>
          <w:bCs/>
          <w:b/>
        </w:rPr>
        <w:t xml:space="preserve">chỉ ở khâu trích xuất thống kê</w:t>
      </w:r>
      <w:r>
        <w:t xml:space="preserve"> </w:t>
      </w:r>
      <w:r>
        <w:t xml:space="preserve">trong cấu phần</w:t>
      </w:r>
      <w:r>
        <w:t xml:space="preserve"> </w:t>
      </w:r>
      <w:r>
        <w:t xml:space="preserve">phân tích tổng hợp, không dùng để sinh nội dung khoa học, không dùng để gán biến điều</w:t>
      </w:r>
      <w:r>
        <w:t xml:space="preserve"> </w:t>
      </w:r>
      <w:r>
        <w:t xml:space="preserve">tiết hay diễn giải kết quả; (ii)</w:t>
      </w:r>
      <w:r>
        <w:t xml:space="preserve"> </w:t>
      </w:r>
      <w:r>
        <w:rPr>
          <w:bCs/>
          <w:b/>
        </w:rPr>
        <w:t xml:space="preserve">toàn bộ</w:t>
      </w:r>
      <w:r>
        <w:t xml:space="preserve"> </w:t>
      </w:r>
      <w:r>
        <w:t xml:space="preserve">bản ghi đưa vào phân tích đã qua kiểm chứng</w:t>
      </w:r>
      <w:r>
        <w:t xml:space="preserve"> </w:t>
      </w:r>
      <w:r>
        <w:t xml:space="preserve">100% và phê duyệt của nghiên cứu sinh, kèm khóa dữ liệu bất biến; (iii) tập dữ liệu đã</w:t>
      </w:r>
      <w:r>
        <w:t xml:space="preserve"> </w:t>
      </w:r>
      <w:r>
        <w:t xml:space="preserve">khóa và mã nguồn công cụ được lưu giữ phục vụ kiểm tra tái lập. Nhờ đó, vai trò của trí</w:t>
      </w:r>
      <w:r>
        <w:t xml:space="preserve"> </w:t>
      </w:r>
      <w:r>
        <w:t xml:space="preserve">tuệ nhân tạo là</w:t>
      </w:r>
      <w:r>
        <w:t xml:space="preserve"> </w:t>
      </w:r>
      <w:r>
        <w:rPr>
          <w:bCs/>
          <w:b/>
        </w:rPr>
        <w:t xml:space="preserve">hỗ trợ năng suất ở khâu cơ học</w:t>
      </w:r>
      <w:r>
        <w:t xml:space="preserve">, trong khi trách nhiệm khoa học và mọi</w:t>
      </w:r>
      <w:r>
        <w:t xml:space="preserve"> </w:t>
      </w:r>
      <w:r>
        <w:t xml:space="preserve">quyết định nội dung thuộc về nghiên cứu sinh.</w:t>
      </w:r>
    </w:p>
    <w:p>
      <w:r>
        <w:br w:type="page"/>
      </w:r>
    </w:p>
    <w:bookmarkEnd w:id="329"/>
    <w:bookmarkEnd w:id="330"/>
    <w:bookmarkStart w:id="335" w:name="X68fd5ad814f5948ebb4636beacfe4f4c4f41559"/>
    <w:p>
      <w:pPr>
        <w:pStyle w:val="Heading1"/>
      </w:pPr>
      <w:r>
        <w:t xml:space="preserve">PHỤ LỤC C: BẢNG KẾT QUẢ CHI TIẾT CÁC NGHIÊN CỨU THÀNH PHẦN P3–P10</w:t>
      </w:r>
    </w:p>
    <w:p>
      <w:pPr>
        <w:pStyle w:val="FirstParagraph"/>
      </w:pPr>
      <w:r>
        <w:t xml:space="preserve">Phụ lục này hợp nhất các kết quả hồi quy chính, điểm uốn và bằng chứng độ vững của tám nghiên cứu thành phần (P3–P10) vào một chỗ để Hội đồng tra cứu nhanh và đối chiếu chéo. Mọi con số ở đây được rút trực tiếp từ Chương 4 (Mục 4.2–4.9) và giữ nguyên giá trị đã khóa của luận án; phần trình bày đầy đủ từng mô hình, kiểm định trung gian và diễn giải cơ chế nằm trong các mục tương ứng của Chương 4 và trong các bản thảo nghiên cứu thành phần độc lập. Quy ước ý nghĩa thống kê: †</w:t>
      </w:r>
      <w:r>
        <w:t xml:space="preserve"> </w:t>
      </w:r>
      <m:oMath>
        <m:r>
          <m:t>p</m:t>
        </m:r>
        <m:r>
          <m:rPr>
            <m:sty m:val="p"/>
          </m:rPr>
          <m:t>&lt;</m:t>
        </m:r>
        <m:r>
          <m:rPr>
            <m:sty m:val="p"/>
          </m:rPr>
          <m:t>,</m:t>
        </m:r>
        <m:r>
          <m:t>10</m:t>
        </m:r>
      </m:oMath>
      <w:r>
        <w:t xml:space="preserve">; *</w:t>
      </w:r>
      <w:r>
        <w:t xml:space="preserve"> </w:t>
      </w:r>
      <m:oMath>
        <m:r>
          <m:t>p</m:t>
        </m:r>
        <m:r>
          <m:rPr>
            <m:sty m:val="p"/>
          </m:rPr>
          <m:t>&lt;</m:t>
        </m:r>
        <m:r>
          <m:rPr>
            <m:sty m:val="p"/>
          </m:rPr>
          <m:t>,</m:t>
        </m:r>
        <m:r>
          <m:t>05</m:t>
        </m:r>
      </m:oMath>
      <w:r>
        <w:t xml:space="preserve">; **</w:t>
      </w:r>
      <w:r>
        <w:t xml:space="preserve"> </w:t>
      </w:r>
      <m:oMath>
        <m:r>
          <m:t>p</m:t>
        </m:r>
        <m:r>
          <m:rPr>
            <m:sty m:val="p"/>
          </m:rPr>
          <m:t>&lt;</m:t>
        </m:r>
        <m:r>
          <m:rPr>
            <m:sty m:val="p"/>
          </m:rPr>
          <m:t>,</m:t>
        </m:r>
        <m:r>
          <m:t>01</m:t>
        </m:r>
      </m:oMath>
      <w:r>
        <w:t xml:space="preserve">; ***</w:t>
      </w:r>
      <w:r>
        <w:t xml:space="preserve"> </w:t>
      </w:r>
      <m:oMath>
        <m:r>
          <m:t>p</m:t>
        </m:r>
        <m:r>
          <m:rPr>
            <m:sty m:val="p"/>
          </m:rPr>
          <m:t>&lt;</m:t>
        </m:r>
        <m:r>
          <m:rPr>
            <m:sty m:val="p"/>
          </m:rPr>
          <m:t>,</m:t>
        </m:r>
        <m:r>
          <m:t>001</m:t>
        </m:r>
      </m:oMath>
      <w:r>
        <w:t xml:space="preserve">. Biến phụ thuộc ở mọi mô hình là năng suất lao động dạng log (cấp doanh nghiệp) hoặc chuẩn hóa z trong từng cặp nền kinh tế × năm (P7, P8); biến giải thích trọng tâm là cường độ xuất khẩu trên doanh thu (FSTS) và bình phương của nó.</w:t>
      </w:r>
    </w:p>
    <w:bookmarkStart w:id="331" w:name="Xa3ea8f5732bbe394cfba2b035a013d7b6a5f26f"/>
    <w:p>
      <w:pPr>
        <w:pStyle w:val="Heading2"/>
      </w:pPr>
      <w:r>
        <w:t xml:space="preserve">C.1 Bảng tổng hợp so sánh tám nghiên cứu thành phần</w:t>
      </w:r>
    </w:p>
    <w:p>
      <w:pPr>
        <w:pStyle w:val="FirstParagraph"/>
      </w:pPr>
      <w:r>
        <w:rPr>
          <w:bCs/>
          <w:b/>
        </w:rPr>
        <w:t xml:space="preserve">Bảng C.1.</w:t>
      </w:r>
      <w:r>
        <w:t xml:space="preserve"> </w:t>
      </w:r>
      <w:r>
        <w:rPr>
          <w:iCs/>
          <w:i/>
        </w:rPr>
        <w:t xml:space="preserve">Kết quả hồi quy chính và điểm uốn của tám nghiên cứu thành phần trên phổ thể chế ICRV.</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Nghiên cứu (bối cảnh, nhóm ICRV)</w:t>
            </w:r>
          </w:p>
        </w:tc>
        <w:tc>
          <w:tcPr/>
          <w:p>
            <w:pPr>
              <w:pStyle w:val="Compact"/>
              <w:jc w:val="right"/>
            </w:pPr>
            <w:r>
              <w:t xml:space="preserve">N</w:t>
            </w:r>
          </w:p>
        </w:tc>
        <w:tc>
          <w:tcPr/>
          <w:p>
            <w:pPr>
              <w:pStyle w:val="Compact"/>
              <w:jc w:val="right"/>
            </w:pPr>
            <m:oMath>
              <m:sSub>
                <m:e>
                  <m:r>
                    <m:t>β</m:t>
                  </m:r>
                </m:e>
                <m:sub>
                  <m:r>
                    <m:t>1</m:t>
                  </m:r>
                </m:sub>
              </m:sSub>
            </m:oMath>
            <w:r>
              <w:t xml:space="preserve"> </w:t>
            </w:r>
            <w:r>
              <w:t xml:space="preserve">(FSTS)</w:t>
            </w:r>
          </w:p>
        </w:tc>
        <w:tc>
          <w:tcPr/>
          <w:p>
            <w:pPr>
              <w:pStyle w:val="Compact"/>
              <w:jc w:val="right"/>
            </w:pPr>
            <m:oMath>
              <m:sSub>
                <m:e>
                  <m:r>
                    <m:t>β</m:t>
                  </m:r>
                </m:e>
                <m:sub>
                  <m:r>
                    <m:t>2</m:t>
                  </m:r>
                </m:sub>
              </m:sSub>
            </m:oMath>
            <w:r>
              <w:t xml:space="preserve"> </w:t>
            </w:r>
            <w:r>
              <w:t xml:space="preserve">(FSTS²)</w:t>
            </w:r>
          </w:p>
        </w:tc>
        <w:tc>
          <w:tcPr/>
          <w:p>
            <w:pPr>
              <w:pStyle w:val="Compact"/>
              <w:jc w:val="right"/>
            </w:pPr>
            <w:r>
              <w:t xml:space="preserve">Điểm uốn</w:t>
            </w:r>
          </w:p>
        </w:tc>
        <w:tc>
          <w:tcPr/>
          <w:p>
            <w:pPr>
              <w:pStyle w:val="Compact"/>
              <w:jc w:val="left"/>
            </w:pPr>
            <w:r>
              <w:t xml:space="preserve">Kiểm định phi tuyến</w:t>
            </w:r>
          </w:p>
        </w:tc>
        <w:tc>
          <w:tcPr/>
          <w:p>
            <w:pPr>
              <w:pStyle w:val="Compact"/>
              <w:jc w:val="left"/>
            </w:pPr>
            <w:r>
              <w:t xml:space="preserve">Phát hiện điều tiết chính</w:t>
            </w:r>
          </w:p>
        </w:tc>
      </w:tr>
      <w:tr>
        <w:tc>
          <w:tcPr/>
          <w:p>
            <w:pPr>
              <w:pStyle w:val="Compact"/>
              <w:jc w:val="left"/>
            </w:pPr>
            <w:r>
              <w:rPr>
                <w:bCs/>
                <w:b/>
              </w:rPr>
              <w:t xml:space="preserve">P3</w:t>
            </w:r>
            <w:r>
              <w:t xml:space="preserve"> </w:t>
            </w:r>
            <w:r>
              <w:t xml:space="preserve">Việt Nam (chuyển đổi TB–thấp, IV)</w:t>
            </w:r>
          </w:p>
        </w:tc>
        <w:tc>
          <w:tcPr/>
          <w:p>
            <w:pPr>
              <w:pStyle w:val="Compact"/>
              <w:jc w:val="right"/>
            </w:pPr>
            <w:r>
              <w:t xml:space="preserve">2.958</w:t>
            </w:r>
          </w:p>
        </w:tc>
        <w:tc>
          <w:tcPr/>
          <w:p>
            <w:pPr>
              <w:pStyle w:val="Compact"/>
              <w:jc w:val="right"/>
            </w:pPr>
            <w:r>
              <w:t xml:space="preserve">+0,984***</w:t>
            </w:r>
          </w:p>
        </w:tc>
        <w:tc>
          <w:tcPr/>
          <w:p>
            <w:pPr>
              <w:pStyle w:val="Compact"/>
              <w:jc w:val="right"/>
            </w:pPr>
            <w:r>
              <w:t xml:space="preserve">−1,909***</w:t>
            </w:r>
          </w:p>
        </w:tc>
        <w:tc>
          <w:tcPr/>
          <w:p>
            <w:pPr>
              <w:pStyle w:val="Compact"/>
              <w:jc w:val="right"/>
            </w:pPr>
            <w:r>
              <w:t xml:space="preserve">39,7% (dải 39,3–46,2)</w:t>
            </w:r>
          </w:p>
        </w:tc>
        <w:tc>
          <w:tcPr/>
          <w:p>
            <w:pPr>
              <w:pStyle w:val="Compact"/>
              <w:jc w:val="left"/>
            </w:pPr>
            <w:r>
              <w:t xml:space="preserve">Lind–Mehlum</w:t>
            </w:r>
            <w:r>
              <w:t xml:space="preserve"> </w:t>
            </w:r>
            <m:oMath>
              <m:r>
                <m:t>p</m:t>
              </m:r>
              <m:r>
                <m:rPr>
                  <m:sty m:val="p"/>
                </m:rPr>
                <m:t>&lt;</m:t>
              </m:r>
              <m:r>
                <m:rPr>
                  <m:sty m:val="p"/>
                </m:rPr>
                <m:t>,</m:t>
              </m:r>
              <m:r>
                <m:t>001</m:t>
              </m:r>
            </m:oMath>
          </w:p>
        </w:tc>
        <w:tc>
          <w:tcPr/>
          <w:p>
            <w:pPr>
              <w:pStyle w:val="Compact"/>
              <w:jc w:val="left"/>
            </w:pPr>
            <w:r>
              <w:t xml:space="preserve">TCI +0,179*** nâng nền và điều tiết (</w:t>
            </w:r>
            <m:oMath>
              <m:r>
                <m:t>p</m:t>
              </m:r>
              <m:r>
                <m:rPr>
                  <m:sty m:val="p"/>
                </m:rPr>
                <m:t>=</m:t>
              </m:r>
              <m:r>
                <m:rPr>
                  <m:sty m:val="p"/>
                </m:rPr>
                <m:t>,</m:t>
              </m:r>
              <m:r>
                <m:t>003</m:t>
              </m:r>
            </m:oMath>
            <w:r>
              <w:t xml:space="preserve">); DAI Bậc 1 không ý nghĩa</w:t>
            </w:r>
          </w:p>
        </w:tc>
      </w:tr>
      <w:tr>
        <w:tc>
          <w:tcPr/>
          <w:p>
            <w:pPr>
              <w:pStyle w:val="Compact"/>
              <w:jc w:val="left"/>
            </w:pPr>
            <w:r>
              <w:rPr>
                <w:bCs/>
                <w:b/>
              </w:rPr>
              <w:t xml:space="preserve">P4</w:t>
            </w:r>
            <w:r>
              <w:t xml:space="preserve"> </w:t>
            </w:r>
            <w:r>
              <w:t xml:space="preserve">Singapore (tiên tiến đổi mới, I)</w:t>
            </w:r>
          </w:p>
        </w:tc>
        <w:tc>
          <w:tcPr/>
          <w:p>
            <w:pPr>
              <w:pStyle w:val="Compact"/>
              <w:jc w:val="right"/>
            </w:pPr>
            <w:r>
              <w:t xml:space="preserve">623</w:t>
            </w:r>
          </w:p>
        </w:tc>
        <w:tc>
          <w:tcPr/>
          <w:p>
            <w:pPr>
              <w:pStyle w:val="Compact"/>
              <w:jc w:val="right"/>
            </w:pPr>
            <w:r>
              <w:t xml:space="preserve">+2,652***</w:t>
            </w:r>
          </w:p>
        </w:tc>
        <w:tc>
          <w:tcPr/>
          <w:p>
            <w:pPr>
              <w:pStyle w:val="Compact"/>
              <w:jc w:val="right"/>
            </w:pPr>
            <w:r>
              <w:t xml:space="preserve">−1,705†</w:t>
            </w:r>
          </w:p>
        </w:tc>
        <w:tc>
          <w:tcPr/>
          <w:p>
            <w:pPr>
              <w:pStyle w:val="Compact"/>
              <w:jc w:val="right"/>
            </w:pPr>
            <w:r>
              <w:t xml:space="preserve">≈88,6% (ngoài miền)</w:t>
            </w:r>
          </w:p>
        </w:tc>
        <w:tc>
          <w:tcPr/>
          <w:p>
            <w:pPr>
              <w:pStyle w:val="Compact"/>
              <w:jc w:val="left"/>
            </w:pPr>
            <w:r>
              <w:t xml:space="preserve">Lind–Mehlum</w:t>
            </w:r>
            <w:r>
              <w:t xml:space="preserve"> </w:t>
            </w:r>
            <m:oMath>
              <m:r>
                <m:t>p</m:t>
              </m:r>
              <m:r>
                <m:rPr>
                  <m:sty m:val="p"/>
                </m:rPr>
                <m:t>=</m:t>
              </m:r>
              <m:r>
                <m:rPr>
                  <m:sty m:val="p"/>
                </m:rPr>
                <m:t>,</m:t>
              </m:r>
              <m:r>
                <m:t>303</m:t>
              </m:r>
            </m:oMath>
            <w:r>
              <w:t xml:space="preserve"> </w:t>
            </w:r>
            <w:r>
              <w:t xml:space="preserve">(null thông tin)</w:t>
            </w:r>
          </w:p>
        </w:tc>
        <w:tc>
          <w:tcPr/>
          <w:p>
            <w:pPr>
              <w:pStyle w:val="Compact"/>
              <w:jc w:val="left"/>
            </w:pPr>
            <w:r>
              <w:t xml:space="preserve">FSTS²×DAI = +3,119** (lá chắn số); TCI +0,153***</w:t>
            </w:r>
          </w:p>
        </w:tc>
      </w:tr>
      <w:tr>
        <w:tc>
          <w:tcPr/>
          <w:p>
            <w:pPr>
              <w:pStyle w:val="Compact"/>
              <w:jc w:val="left"/>
            </w:pPr>
            <w:r>
              <w:rPr>
                <w:bCs/>
                <w:b/>
              </w:rPr>
              <w:t xml:space="preserve">P5</w:t>
            </w:r>
            <w:r>
              <w:t xml:space="preserve"> </w:t>
            </w:r>
            <w:r>
              <w:t xml:space="preserve">Trung Quốc (trung bình cao, III)</w:t>
            </w:r>
          </w:p>
        </w:tc>
        <w:tc>
          <w:tcPr/>
          <w:p>
            <w:pPr>
              <w:pStyle w:val="Compact"/>
              <w:jc w:val="right"/>
            </w:pPr>
            <w:r>
              <w:t xml:space="preserve">4.544</w:t>
            </w:r>
          </w:p>
        </w:tc>
        <w:tc>
          <w:tcPr/>
          <w:p>
            <w:pPr>
              <w:pStyle w:val="Compact"/>
              <w:jc w:val="right"/>
            </w:pPr>
            <w:r>
              <w:t xml:space="preserve">+1,78***</w:t>
            </w:r>
          </w:p>
        </w:tc>
        <w:tc>
          <w:tcPr/>
          <w:p>
            <w:pPr>
              <w:pStyle w:val="Compact"/>
              <w:jc w:val="right"/>
            </w:pPr>
            <w:r>
              <w:t xml:space="preserve">−1,83***</w:t>
            </w:r>
          </w:p>
        </w:tc>
        <w:tc>
          <w:tcPr/>
          <w:p>
            <w:pPr>
              <w:pStyle w:val="Compact"/>
              <w:jc w:val="right"/>
            </w:pPr>
            <w:r>
              <w:t xml:space="preserve">48,78% (49,37→47,19)</w:t>
            </w:r>
          </w:p>
        </w:tc>
        <w:tc>
          <w:tcPr/>
          <w:p>
            <w:pPr>
              <w:pStyle w:val="Compact"/>
              <w:jc w:val="left"/>
            </w:pPr>
            <w:r>
              <w:t xml:space="preserve">Lind–Mehlum</w:t>
            </w:r>
            <w:r>
              <w:t xml:space="preserve"> </w:t>
            </w:r>
            <m:oMath>
              <m:r>
                <m:t>p</m:t>
              </m:r>
              <m:r>
                <m:rPr>
                  <m:sty m:val="p"/>
                </m:rPr>
                <m:t>&lt;</m:t>
              </m:r>
              <m:r>
                <m:rPr>
                  <m:sty m:val="p"/>
                </m:rPr>
                <m:t>,</m:t>
              </m:r>
              <m:r>
                <m:t>001</m:t>
              </m:r>
            </m:oMath>
          </w:p>
        </w:tc>
        <w:tc>
          <w:tcPr/>
          <w:p>
            <w:pPr>
              <w:pStyle w:val="Compact"/>
              <w:jc w:val="left"/>
            </w:pPr>
            <w:r>
              <w:t xml:space="preserve">Điểm uốn ổn định theo thời gian (Paternoster</w:t>
            </w:r>
            <w:r>
              <w:t xml:space="preserve"> </w:t>
            </w:r>
            <m:oMath>
              <m:r>
                <m:t>p</m:t>
              </m:r>
              <m:r>
                <m:rPr>
                  <m:sty m:val="p"/>
                </m:rPr>
                <m:t>=</m:t>
              </m:r>
              <m:r>
                <m:rPr>
                  <m:sty m:val="p"/>
                </m:rPr>
                <m:t>,</m:t>
              </m:r>
              <m:r>
                <m:t>545</m:t>
              </m:r>
            </m:oMath>
            <w:r>
              <w:t xml:space="preserve">); TCI z +0,380***</w:t>
            </w:r>
          </w:p>
        </w:tc>
      </w:tr>
      <w:tr>
        <w:tc>
          <w:tcPr/>
          <w:p>
            <w:pPr>
              <w:pStyle w:val="Compact"/>
              <w:jc w:val="left"/>
            </w:pPr>
            <w:r>
              <w:rPr>
                <w:bCs/>
                <w:b/>
              </w:rPr>
              <w:t xml:space="preserve">P6</w:t>
            </w:r>
            <w:r>
              <w:t xml:space="preserve"> </w:t>
            </w:r>
            <w:r>
              <w:t xml:space="preserve">Phân tích tổng hợp ba tầng</w:t>
            </w:r>
          </w:p>
        </w:tc>
        <w:tc>
          <w:tcPr/>
          <w:p>
            <w:pPr>
              <w:pStyle w:val="Compact"/>
              <w:jc w:val="right"/>
            </w:pPr>
            <w:r>
              <w:t xml:space="preserve">k=238 (K=288)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left"/>
            </w:pP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tc>
        <w:tc>
          <w:tcPr/>
          <w:p>
            <w:pPr>
              <w:pStyle w:val="Compact"/>
              <w:jc w:val="left"/>
            </w:pP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lệch lạc Begg</w:t>
            </w:r>
            <w:r>
              <w:t xml:space="preserve"> </w:t>
            </w:r>
            <m:oMath>
              <m:r>
                <m:t>τ</m:t>
              </m:r>
              <m:r>
                <m:rPr>
                  <m:sty m:val="p"/>
                </m:rPr>
                <m:t>=</m:t>
              </m:r>
              <m:r>
                <m:rPr>
                  <m:sty m:val="p"/>
                </m:rPr>
                <m:t>−</m:t>
              </m:r>
              <m:r>
                <m:t>0</m:t>
              </m:r>
              <m:r>
                <m:rPr>
                  <m:sty m:val="p"/>
                </m:rPr>
                <m:t>,</m:t>
              </m:r>
              <m:r>
                <m:t>132</m:t>
              </m:r>
            </m:oMath>
            <w:r>
              <w:t xml:space="preserve">** →</w:t>
            </w:r>
            <w:r>
              <w:t xml:space="preserve"> </w:t>
            </w:r>
            <m:oMath>
              <m:sSub>
                <m:e>
                  <m:acc>
                    <m:accPr>
                      <m:chr m:val="‾"/>
                    </m:accPr>
                    <m:e>
                      <m:r>
                        <m:t>r</m:t>
                      </m:r>
                    </m:e>
                  </m:acc>
                </m:e>
                <m:sub>
                  <m:r>
                    <m:rPr>
                      <m:nor/>
                      <m:sty m:val="p"/>
                    </m:rPr>
                    <m:t>adj</m:t>
                  </m:r>
                </m:sub>
              </m:sSub>
              <m:r>
                <m:rPr>
                  <m:sty m:val="p"/>
                </m:rPr>
                <m:t>=</m:t>
              </m:r>
              <m:r>
                <m:t>0</m:t>
              </m:r>
              <m:r>
                <m:rPr>
                  <m:sty m:val="p"/>
                </m:rPr>
                <m:t>,</m:t>
              </m:r>
              <m:r>
                <m:t>035</m:t>
              </m:r>
            </m:oMath>
          </w:p>
        </w:tc>
      </w:tr>
      <w:tr>
        <w:tc>
          <w:tcPr/>
          <w:p>
            <w:pPr>
              <w:pStyle w:val="Compact"/>
              <w:jc w:val="left"/>
            </w:pPr>
            <w:r>
              <w:rPr>
                <w:bCs/>
                <w:b/>
              </w:rPr>
              <w:t xml:space="preserve">P7</w:t>
            </w:r>
            <w:r>
              <w:t xml:space="preserve"> </w:t>
            </w:r>
            <w:r>
              <w:t xml:space="preserve">50 nền kinh tế (toàn phổ I–VI)</w:t>
            </w:r>
          </w:p>
        </w:tc>
        <w:tc>
          <w:tcPr/>
          <w:p>
            <w:pPr>
              <w:pStyle w:val="Compact"/>
              <w:jc w:val="right"/>
            </w:pPr>
            <w:r>
              <w:t xml:space="preserve">81.022 / 79.080</w:t>
            </w:r>
          </w:p>
        </w:tc>
        <w:tc>
          <w:tcPr/>
          <w:p>
            <w:pPr>
              <w:pStyle w:val="Compact"/>
              <w:jc w:val="right"/>
            </w:pPr>
            <w:r>
              <w:t xml:space="preserve">+0,500***</w:t>
            </w:r>
          </w:p>
        </w:tc>
        <w:tc>
          <w:tcPr/>
          <w:p>
            <w:pPr>
              <w:pStyle w:val="Compact"/>
              <w:jc w:val="right"/>
            </w:pPr>
            <w:r>
              <w:t xml:space="preserve">−0,721***</w:t>
            </w:r>
          </w:p>
        </w:tc>
        <w:tc>
          <w:tcPr/>
          <w:p>
            <w:pPr>
              <w:pStyle w:val="Compact"/>
              <w:jc w:val="right"/>
            </w:pPr>
            <w:r>
              <w:t xml:space="preserve">43,6% (M2: 51,5%)</w:t>
            </w:r>
          </w:p>
        </w:tc>
        <w:tc>
          <w:tcPr/>
          <w:p>
            <w:pPr>
              <w:pStyle w:val="Compact"/>
              <w:jc w:val="left"/>
            </w:pPr>
            <w:r>
              <w:t xml:space="preserve">Lind–Mehlum</w:t>
            </w:r>
            <w:r>
              <w:t xml:space="preserve"> </w:t>
            </w:r>
            <m:oMath>
              <m:r>
                <m:t>p</m:t>
              </m:r>
              <m:r>
                <m:rPr>
                  <m:sty m:val="p"/>
                </m:rPr>
                <m:t>&lt;</m:t>
              </m:r>
              <m:r>
                <m:rPr>
                  <m:sty m:val="p"/>
                </m:rPr>
                <m:t>,</m:t>
              </m:r>
              <m:r>
                <m:t>001</m:t>
              </m:r>
            </m:oMath>
          </w:p>
        </w:tc>
        <w:tc>
          <w:tcPr/>
          <w:p>
            <w:pPr>
              <w:pStyle w:val="Compact"/>
              <w:jc w:val="left"/>
            </w:pPr>
            <w:r>
              <w:t xml:space="preserve">TCI +0,141***, DAI +0,201*** nâng nền; điều tiết độ cong không ý nghĩa toàn mẫu</w:t>
            </w:r>
          </w:p>
        </w:tc>
      </w:tr>
      <w:tr>
        <w:tc>
          <w:tcPr/>
          <w:p>
            <w:pPr>
              <w:pStyle w:val="Compact"/>
              <w:jc w:val="left"/>
            </w:pPr>
            <w:r>
              <w:rPr>
                <w:bCs/>
                <w:b/>
              </w:rPr>
              <w:t xml:space="preserve">P8</w:t>
            </w:r>
            <w:r>
              <w:t xml:space="preserve"> </w:t>
            </w:r>
            <w:r>
              <w:t xml:space="preserve">SIDS Thái Bình Dương (biên, VI)</w:t>
            </w:r>
          </w:p>
        </w:tc>
        <w:tc>
          <w:tcPr/>
          <w:p>
            <w:pPr>
              <w:pStyle w:val="Compact"/>
              <w:jc w:val="right"/>
            </w:pPr>
            <w:r>
              <w:t xml:space="preserve">1.450</w:t>
            </w:r>
          </w:p>
        </w:tc>
        <w:tc>
          <w:tcPr/>
          <w:p>
            <w:pPr>
              <w:pStyle w:val="Compact"/>
              <w:jc w:val="right"/>
            </w:pPr>
            <w:r>
              <w:t xml:space="preserve">−0,085 (n.s.)</w:t>
            </w:r>
          </w:p>
        </w:tc>
        <w:tc>
          <w:tcPr/>
          <w:p>
            <w:pPr>
              <w:pStyle w:val="Compact"/>
              <w:jc w:val="right"/>
            </w:pPr>
            <w:r>
              <w:t xml:space="preserve">+0,696†</w:t>
            </w:r>
          </w:p>
        </w:tc>
        <w:tc>
          <w:tcPr/>
          <w:p>
            <w:pPr>
              <w:pStyle w:val="Compact"/>
              <w:jc w:val="right"/>
            </w:pPr>
            <w:r>
              <w:t xml:space="preserve">— (mất cấu trúc)</w:t>
            </w:r>
          </w:p>
        </w:tc>
        <w:tc>
          <w:tcPr/>
          <w:p>
            <w:pPr>
              <w:pStyle w:val="Compact"/>
              <w:jc w:val="left"/>
            </w:pPr>
            <w:r>
              <w:t xml:space="preserve">Điều kiện Lind–Mehlum không thỏa</w:t>
            </w:r>
          </w:p>
        </w:tc>
        <w:tc>
          <w:tcPr/>
          <w:p>
            <w:pPr>
              <w:pStyle w:val="Compact"/>
              <w:jc w:val="left"/>
            </w:pPr>
            <w:r>
              <w:t xml:space="preserve">FIP/H1b (thăm dò); bản ba cụm</w:t>
            </w:r>
            <w:r>
              <w:t xml:space="preserve"> </w:t>
            </w:r>
            <m:oMath>
              <m:r>
                <m:t>β</m:t>
              </m:r>
              <m:r>
                <m:rPr>
                  <m:sty m:val="p"/>
                </m:rPr>
                <m:t>=</m:t>
              </m:r>
              <m:r>
                <m:rPr>
                  <m:sty m:val="p"/>
                </m:rPr>
                <m:t>−</m:t>
              </m:r>
              <m:r>
                <m:t>1</m:t>
              </m:r>
              <m:r>
                <m:rPr>
                  <m:sty m:val="p"/>
                </m:rPr>
                <m:t>,</m:t>
              </m:r>
              <m:r>
                <m:t>339</m:t>
              </m:r>
            </m:oMath>
            <w:r>
              <w:t xml:space="preserve">***; TCI +0,299** không cứu đường cong</w:t>
            </w:r>
          </w:p>
        </w:tc>
      </w:tr>
      <w:tr>
        <w:tc>
          <w:tcPr/>
          <w:p>
            <w:pPr>
              <w:pStyle w:val="Compact"/>
              <w:jc w:val="left"/>
            </w:pPr>
            <w:r>
              <w:rPr>
                <w:bCs/>
                <w:b/>
              </w:rPr>
              <w:t xml:space="preserve">P9</w:t>
            </w:r>
            <w:r>
              <w:t xml:space="preserve"> </w:t>
            </w:r>
            <w:r>
              <w:t xml:space="preserve">Ấn Độ (biến động thể chế, IV)</w:t>
            </w:r>
          </w:p>
        </w:tc>
        <w:tc>
          <w:tcPr/>
          <w:p>
            <w:pPr>
              <w:pStyle w:val="Compact"/>
              <w:jc w:val="right"/>
            </w:pPr>
            <w:r>
              <w:t xml:space="preserve">28.717</w:t>
            </w:r>
          </w:p>
        </w:tc>
        <w:tc>
          <w:tcPr/>
          <w:p>
            <w:pPr>
              <w:pStyle w:val="Compact"/>
              <w:jc w:val="right"/>
            </w:pPr>
            <w:r>
              <w:t xml:space="preserve">+1,865*** → +1,542*** → n.s.</w:t>
            </w:r>
          </w:p>
        </w:tc>
        <w:tc>
          <w:tcPr/>
          <w:p>
            <w:pPr>
              <w:pStyle w:val="Compact"/>
              <w:jc w:val="right"/>
            </w:pPr>
            <w:r>
              <w:t xml:space="preserve">−1,508*** → −1,893*** → −0,160</w:t>
            </w:r>
          </w:p>
        </w:tc>
        <w:tc>
          <w:tcPr/>
          <w:p>
            <w:pPr>
              <w:pStyle w:val="Compact"/>
              <w:jc w:val="right"/>
            </w:pPr>
            <w:r>
              <w:t xml:space="preserve">61,8 → 40,7 → sụp đổ</w:t>
            </w:r>
          </w:p>
        </w:tc>
        <w:tc>
          <w:tcPr/>
          <w:p>
            <w:pPr>
              <w:pStyle w:val="Compact"/>
              <w:jc w:val="left"/>
            </w:pPr>
            <w:r>
              <w:t xml:space="preserve">LM</w:t>
            </w:r>
            <w:r>
              <w:t xml:space="preserve"> </w:t>
            </w:r>
            <m:oMath>
              <m:r>
                <m:t>p</m:t>
              </m:r>
              <m:r>
                <m:rPr>
                  <m:sty m:val="p"/>
                </m:rPr>
                <m:t>&lt;</m:t>
              </m:r>
              <m:r>
                <m:rPr>
                  <m:sty m:val="p"/>
                </m:rPr>
                <m:t>,</m:t>
              </m:r>
              <m:r>
                <m:t>001</m:t>
              </m:r>
            </m:oMath>
            <w:r>
              <w:t xml:space="preserve"> </w:t>
            </w:r>
            <w:r>
              <w:t xml:space="preserve">(2014/2022);</w:t>
            </w:r>
            <w:r>
              <w:t xml:space="preserve"> </w:t>
            </w:r>
            <m:oMath>
              <m:r>
                <m:t>p</m:t>
              </m:r>
              <m:r>
                <m:rPr>
                  <m:sty m:val="p"/>
                </m:rPr>
                <m:t>=</m:t>
              </m:r>
              <m:r>
                <m:rPr>
                  <m:sty m:val="p"/>
                </m:rPr>
                <m:t>,</m:t>
              </m:r>
              <m:r>
                <m:t>99</m:t>
              </m:r>
            </m:oMath>
            <w:r>
              <w:t xml:space="preserve"> </w:t>
            </w:r>
            <w:r>
              <w:t xml:space="preserve">(2025)</w:t>
            </w:r>
          </w:p>
        </w:tc>
        <w:tc>
          <w:tcPr/>
          <w:p>
            <w:pPr>
              <w:pStyle w:val="Compact"/>
              <w:jc w:val="left"/>
            </w:pPr>
            <w:r>
              <w:t xml:space="preserve">Tan biến ngưỡng; Paternoster</w:t>
            </w:r>
            <w:r>
              <w:t xml:space="preserve"> </w:t>
            </w:r>
            <m:oMath>
              <m:r>
                <m:t>z</m:t>
              </m:r>
              <m:r>
                <m:rPr>
                  <m:sty m:val="p"/>
                </m:rPr>
                <m:t>=</m:t>
              </m:r>
              <m:r>
                <m:rPr>
                  <m:sty m:val="p"/>
                </m:rPr>
                <m:t>−</m:t>
              </m:r>
              <m:r>
                <m:t>7</m:t>
              </m:r>
              <m:r>
                <m:rPr>
                  <m:sty m:val="p"/>
                </m:rPr>
                <m:t>,</m:t>
              </m:r>
              <m:r>
                <m:t>94</m:t>
              </m:r>
            </m:oMath>
            <w:r>
              <w:t xml:space="preserve">***; DAI Bậc 2×FSTS = −4,02**</w:t>
            </w:r>
          </w:p>
        </w:tc>
      </w:tr>
      <w:tr>
        <w:tc>
          <w:tcPr/>
          <w:p>
            <w:pPr>
              <w:pStyle w:val="Compact"/>
              <w:jc w:val="left"/>
            </w:pPr>
            <w:r>
              <w:rPr>
                <w:bCs/>
                <w:b/>
              </w:rPr>
              <w:t xml:space="preserve">P10</w:t>
            </w:r>
            <w:r>
              <w:t xml:space="preserve"> </w:t>
            </w:r>
            <w:r>
              <w:t xml:space="preserve">Nhật Bản (biên trên, I)</w:t>
            </w:r>
          </w:p>
        </w:tc>
        <w:tc>
          <w:tcPr/>
          <w:p>
            <w:pPr>
              <w:pStyle w:val="Compact"/>
              <w:jc w:val="right"/>
            </w:pPr>
            <w:r>
              <w:t xml:space="preserve">2.168</w:t>
            </w:r>
          </w:p>
        </w:tc>
        <w:tc>
          <w:tcPr/>
          <w:p>
            <w:pPr>
              <w:pStyle w:val="Compact"/>
              <w:jc w:val="right"/>
            </w:pPr>
            <w:r>
              <w:t xml:space="preserve">+0,671*** (tuyến tính)</w:t>
            </w:r>
          </w:p>
        </w:tc>
        <w:tc>
          <w:tcPr/>
          <w:p>
            <w:pPr>
              <w:pStyle w:val="Compact"/>
              <w:jc w:val="right"/>
            </w:pPr>
            <w:r>
              <w:t xml:space="preserve">không ý nghĩa</w:t>
            </w:r>
          </w:p>
        </w:tc>
        <w:tc>
          <w:tcPr/>
          <w:p>
            <w:pPr>
              <w:pStyle w:val="Compact"/>
              <w:jc w:val="right"/>
            </w:pPr>
            <w:r>
              <w:t xml:space="preserve">90–108% (ngoài miền)</w:t>
            </w:r>
          </w:p>
        </w:tc>
        <w:tc>
          <w:tcPr/>
          <w:p>
            <w:pPr>
              <w:pStyle w:val="Compact"/>
              <w:jc w:val="left"/>
            </w:pPr>
            <w:r>
              <w:t xml:space="preserve">Gần tuyến tính dương</w:t>
            </w:r>
          </w:p>
        </w:tc>
        <w:tc>
          <w:tcPr/>
          <w:p>
            <w:pPr>
              <w:pStyle w:val="Compact"/>
              <w:jc w:val="left"/>
            </w:pPr>
            <w:r>
              <w:t xml:space="preserve">TCI +0,100***, DAI +0,110* nâng nền; phần bù trường thọ +0,073**</w:t>
            </w:r>
          </w:p>
        </w:tc>
      </w:tr>
    </w:tbl>
    <w:p>
      <w:pPr>
        <w:pStyle w:val="BodyText"/>
      </w:pPr>
      <w:r>
        <w:rPr>
          <w:iCs/>
          <w:i/>
        </w:rPr>
        <w:t xml:space="preserve">Nguồn: tổng hợp từ Chương 4 (P6: Mục 4.2; P4: Mục 4.3; P5: Mục 4.4; P3: Mục 4.5; P7: Mục 4.6; P8: Mục 4.7; P9: Mục 4.8; P10: Mục 4.1.5 và Mục 4.9). Với P5, P9, P10 cột</w:t>
      </w:r>
      <w:r>
        <w:rPr>
          <w:iCs/>
          <w:i/>
        </w:rPr>
        <w:t xml:space="preserve"> </w:t>
      </w:r>
      <m:oMath>
        <m:r>
          <m:t>β</m:t>
        </m:r>
      </m:oMath>
      <w:r>
        <w:rPr>
          <w:iCs/>
          <w:i/>
        </w:rPr>
        <w:t xml:space="preserve"> </w:t>
      </w:r>
      <w:r>
        <w:rPr>
          <w:iCs/>
          <w:i/>
        </w:rPr>
        <w:t xml:space="preserve">trình bày mẫu gộp hoặc đợt đại diện; với P9 trình bày diễn tiến ba đợt 2014→2022→2025. P8: cột</w:t>
      </w:r>
      <w:r>
        <w:rPr>
          <w:iCs/>
          <w:i/>
        </w:rPr>
        <w:t xml:space="preserve"> </w:t>
      </w:r>
      <m:oMath>
        <m:r>
          <m:t>β</m:t>
        </m:r>
      </m:oMath>
      <w:r>
        <w:rPr>
          <w:iCs/>
          <w:i/>
        </w:rPr>
        <w:t xml:space="preserve"> </w:t>
      </w:r>
      <w:r>
        <w:rPr>
          <w:iCs/>
          <w:i/>
        </w:rPr>
        <w:t xml:space="preserve">là mô hình tuyến tính trên mẫu đầy đủ bảy nền; hệ số −1,339 là bản dựng ba cụm minh họa, nhạy cảm với phiên bản dữ liệu (xem Mục 4.7.8). Điểm uốn trong ngoặc/ghi</w:t>
      </w:r>
      <w:r>
        <w:rPr>
          <w:iCs/>
          <w:i/>
        </w:rPr>
        <w:t xml:space="preserve"> </w:t>
      </w:r>
      <w:r>
        <w:rPr>
          <w:iCs/>
          <w:i/>
        </w:rPr>
        <w:t xml:space="preserve">“</w:t>
      </w:r>
      <w:r>
        <w:rPr>
          <w:iCs/>
          <w:i/>
        </w:rPr>
        <w:t xml:space="preserve">ngoài miền</w:t>
      </w:r>
      <w:r>
        <w:rPr>
          <w:iCs/>
          <w:i/>
        </w:rPr>
        <w:t xml:space="preserve">”</w:t>
      </w:r>
      <w:r>
        <w:rPr>
          <w:iCs/>
          <w:i/>
        </w:rPr>
        <w:t xml:space="preserve"> </w:t>
      </w:r>
      <w:r>
        <w:rPr>
          <w:iCs/>
          <w:i/>
        </w:rPr>
        <w:t xml:space="preserve">là giá trị đại số không định vị tin cậy trong miền dữ liệu quan sát.</w:t>
      </w:r>
    </w:p>
    <w:bookmarkEnd w:id="331"/>
    <w:bookmarkStart w:id="332" w:name="X41592a7a2eb1677266db9959ab20eb5df36ceb0"/>
    <w:p>
      <w:pPr>
        <w:pStyle w:val="Heading2"/>
      </w:pPr>
      <w:r>
        <w:t xml:space="preserve">C.2 Chi tiết phân tích tổng hợp ba tầng (P6)</w:t>
      </w:r>
    </w:p>
    <w:p>
      <w:pPr>
        <w:pStyle w:val="FirstParagraph"/>
      </w:pPr>
      <w:r>
        <w:rPr>
          <w:bCs/>
          <w:b/>
        </w:rPr>
        <w:t xml:space="preserve">Bảng C.2.</w:t>
      </w:r>
      <w:r>
        <w:t xml:space="preserve"> </w:t>
      </w:r>
      <w:r>
        <w:rPr>
          <w:iCs/>
          <w:i/>
        </w:rPr>
        <w:t xml:space="preserve">Hiệu ứng gộp, phân rã dị biệt, điều tiết và lệch lạc công bố của P6 (k=238, K=288 cỡ ảnh hưởng).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Hạng mục</w:t>
            </w:r>
          </w:p>
        </w:tc>
        <w:tc>
          <w:tcPr/>
          <w:p>
            <w:pPr>
              <w:pStyle w:val="Compact"/>
              <w:jc w:val="right"/>
            </w:pPr>
            <w:r>
              <w:t xml:space="preserve">Giá trị</w:t>
            </w:r>
          </w:p>
        </w:tc>
        <w:tc>
          <w:tcPr/>
          <w:p>
            <w:pPr>
              <w:pStyle w:val="Compact"/>
              <w:jc w:val="left"/>
            </w:pPr>
            <w:r>
              <w:t xml:space="preserve">Ghi chú</w:t>
            </w:r>
          </w:p>
        </w:tc>
      </w:tr>
      <w:tr>
        <w:tc>
          <w:tcPr/>
          <w:p>
            <w:pPr>
              <w:pStyle w:val="Compact"/>
              <w:jc w:val="left"/>
            </w:pPr>
            <w:r>
              <w:t xml:space="preserve">Hiệu ứng gộp</w:t>
            </w:r>
            <w:r>
              <w:t xml:space="preserve"> </w:t>
            </w:r>
            <m:oMath>
              <m:acc>
                <m:accPr>
                  <m:chr m:val="‾"/>
                </m:accPr>
                <m:e>
                  <m:r>
                    <m:t>r</m:t>
                  </m:r>
                </m:e>
              </m:acc>
            </m:oMath>
          </w:p>
        </w:tc>
        <w:tc>
          <w:tcPr/>
          <w:p>
            <w:pPr>
              <w:pStyle w:val="Compact"/>
              <w:jc w:val="right"/>
            </w:pPr>
            <w:r>
              <w:t xml:space="preserve">0,074</w:t>
            </w:r>
          </w:p>
        </w:tc>
        <w:tc>
          <w:tcPr/>
          <w:p>
            <w:pPr>
              <w:pStyle w:val="Compact"/>
              <w:jc w:val="left"/>
            </w:pPr>
            <w:r>
              <w:t xml:space="preserve">Khoảng tin cậy 95% dương, có ý nghĩa</w:t>
            </w:r>
          </w:p>
        </w:tc>
      </w:tr>
      <w:tr>
        <w:tc>
          <w:tcPr/>
          <w:p>
            <w:pPr>
              <w:pStyle w:val="Compact"/>
              <w:jc w:val="left"/>
            </w:pPr>
            <w:r>
              <w:t xml:space="preserve">Dị biệt tổng</w:t>
            </w:r>
            <w:r>
              <w:t xml:space="preserve"> </w:t>
            </w:r>
            <m:oMath>
              <m:sSup>
                <m:e>
                  <m:r>
                    <m:t>I</m:t>
                  </m:r>
                </m:e>
                <m:sup>
                  <m:r>
                    <m:t>2</m:t>
                  </m:r>
                </m:sup>
              </m:sSup>
            </m:oMath>
          </w:p>
        </w:tc>
        <w:tc>
          <w:tcPr/>
          <w:p>
            <w:pPr>
              <w:pStyle w:val="Compact"/>
              <w:jc w:val="right"/>
            </w:pPr>
            <w:r>
              <w:t xml:space="preserve">62,4%</w:t>
            </w:r>
          </w:p>
        </w:tc>
        <w:tc>
          <w:tcPr/>
          <w:p>
            <w:pPr>
              <w:pStyle w:val="Compact"/>
            </w:pPr>
          </w:p>
        </w:tc>
      </w:tr>
      <w:tr>
        <w:tc>
          <w:tcPr/>
          <w:p>
            <w:pPr>
              <w:pStyle w:val="Compact"/>
              <w:jc w:val="left"/>
            </w:pPr>
            <m:oMath>
              <m:sSup>
                <m:e>
                  <m:r>
                    <m:t>I</m:t>
                  </m:r>
                </m:e>
                <m:sup>
                  <m:r>
                    <m:t>2</m:t>
                  </m:r>
                </m:sup>
              </m:sSup>
            </m:oMath>
            <w:r>
              <w:t xml:space="preserve"> </w:t>
            </w:r>
            <w:r>
              <w:t xml:space="preserve">Tầng 2 (trong nghiên cứu)</w:t>
            </w:r>
          </w:p>
        </w:tc>
        <w:tc>
          <w:tcPr/>
          <w:p>
            <w:pPr>
              <w:pStyle w:val="Compact"/>
              <w:jc w:val="right"/>
            </w:pPr>
            <w:r>
              <w:t xml:space="preserve">54,1%</w:t>
            </w:r>
          </w:p>
        </w:tc>
        <w:tc>
          <w:tcPr/>
          <w:p>
            <w:pPr>
              <w:pStyle w:val="Compact"/>
              <w:jc w:val="left"/>
            </w:pPr>
            <w:r>
              <w:t xml:space="preserve">Nguồn dị biệt chủ đạo</w:t>
            </w:r>
          </w:p>
        </w:tc>
      </w:tr>
      <w:tr>
        <w:tc>
          <w:tcPr/>
          <w:p>
            <w:pPr>
              <w:pStyle w:val="Compact"/>
              <w:jc w:val="left"/>
            </w:pPr>
            <m:oMath>
              <m:sSup>
                <m:e>
                  <m:r>
                    <m:t>I</m:t>
                  </m:r>
                </m:e>
                <m:sup>
                  <m:r>
                    <m:t>2</m:t>
                  </m:r>
                </m:sup>
              </m:sSup>
            </m:oMath>
            <w:r>
              <w:t xml:space="preserve"> </w:t>
            </w:r>
            <w:r>
              <w:t xml:space="preserve">Tầng 3 (giữa nghiên cứu)</w:t>
            </w:r>
          </w:p>
        </w:tc>
        <w:tc>
          <w:tcPr/>
          <w:p>
            <w:pPr>
              <w:pStyle w:val="Compact"/>
              <w:jc w:val="right"/>
            </w:pPr>
            <w:r>
              <w:t xml:space="preserve">8,4%</w:t>
            </w:r>
          </w:p>
        </w:tc>
        <w:tc>
          <w:tcPr/>
          <w:p>
            <w:pPr>
              <w:pStyle w:val="Compact"/>
            </w:pPr>
          </w:p>
        </w:tc>
      </w:tr>
      <w:tr>
        <w:tc>
          <w:tcPr/>
          <w:p>
            <w:pPr>
              <w:pStyle w:val="Compact"/>
              <w:jc w:val="left"/>
            </w:pPr>
            <w:r>
              <w:t xml:space="preserve">Điều tiết chế độ thể chế ICRV</w:t>
            </w:r>
          </w:p>
        </w:tc>
        <w:tc>
          <w:tcPr/>
          <w:p>
            <w:pPr>
              <w:pStyle w:val="Compact"/>
              <w:jc w:val="right"/>
            </w:pP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tc>
        <w:tc>
          <w:tcPr/>
          <w:p>
            <w:pPr>
              <w:pStyle w:val="Compact"/>
              <w:jc w:val="left"/>
            </w:pPr>
            <w:r>
              <w:t xml:space="preserve">Thể chế là điều tiết có ý nghĩa</w:t>
            </w:r>
          </w:p>
        </w:tc>
      </w:tr>
      <w:tr>
        <w:tc>
          <w:tcPr/>
          <w:p>
            <w:pPr>
              <w:pStyle w:val="Compact"/>
              <w:jc w:val="left"/>
            </w:pPr>
            <w:r>
              <w:t xml:space="preserve">Điều tiết chấp nhận số ngữ cảnh</w:t>
            </w:r>
          </w:p>
        </w:tc>
        <w:tc>
          <w:tcPr/>
          <w:p>
            <w:pPr>
              <w:pStyle w:val="Compact"/>
              <w:jc w:val="right"/>
            </w:pPr>
            <m:oMath>
              <m:sSub>
                <m:e>
                  <m:r>
                    <m:t>Q</m:t>
                  </m:r>
                </m:e>
                <m:sub>
                  <m:r>
                    <m:t>M</m:t>
                  </m:r>
                </m:sub>
              </m:sSub>
              <m:r>
                <m:rPr>
                  <m:sty m:val="p"/>
                </m:rPr>
                <m:t>=</m:t>
              </m:r>
              <m:r>
                <m:t>1</m:t>
              </m:r>
              <m:r>
                <m:rPr>
                  <m:sty m:val="p"/>
                </m:rPr>
                <m:t>,</m:t>
              </m:r>
              <m:r>
                <m:t>23</m:t>
              </m:r>
            </m:oMath>
            <w:r>
              <w:t xml:space="preserve"> </w:t>
            </w:r>
            <w:r>
              <w:t xml:space="preserve">(</w:t>
            </w:r>
            <m:oMath>
              <m:r>
                <m:t>p</m:t>
              </m:r>
              <m:r>
                <m:rPr>
                  <m:sty m:val="p"/>
                </m:rPr>
                <m:t>=</m:t>
              </m:r>
              <m:r>
                <m:rPr>
                  <m:sty m:val="p"/>
                </m:rPr>
                <m:t>,</m:t>
              </m:r>
              <m:r>
                <m:t>541</m:t>
              </m:r>
            </m:oMath>
            <w:r>
              <w:t xml:space="preserve">)</w:t>
            </w:r>
          </w:p>
        </w:tc>
        <w:tc>
          <w:tcPr/>
          <w:p>
            <w:pPr>
              <w:pStyle w:val="Compact"/>
              <w:jc w:val="left"/>
            </w:pPr>
            <w:r>
              <w:t xml:space="preserve">Không ý nghĩa</w:t>
            </w:r>
          </w:p>
        </w:tc>
      </w:tr>
      <w:tr>
        <w:tc>
          <w:tcPr/>
          <w:p>
            <w:pPr>
              <w:pStyle w:val="Compact"/>
              <w:jc w:val="left"/>
            </w:pPr>
            <w:r>
              <w:t xml:space="preserve">Điều tiết pha số hóa</w:t>
            </w:r>
          </w:p>
        </w:tc>
        <w:tc>
          <w:tcPr/>
          <w:p>
            <w:pPr>
              <w:pStyle w:val="Compact"/>
              <w:jc w:val="right"/>
            </w:pPr>
            <m:oMath>
              <m:sSub>
                <m:e>
                  <m:r>
                    <m:t>Q</m:t>
                  </m:r>
                </m:e>
                <m:sub>
                  <m:r>
                    <m:t>M</m:t>
                  </m:r>
                </m:sub>
              </m:sSub>
              <m:r>
                <m:rPr>
                  <m:sty m:val="p"/>
                </m:rPr>
                <m:t>=</m:t>
              </m:r>
              <m:r>
                <m:t>0</m:t>
              </m:r>
              <m:r>
                <m:rPr>
                  <m:sty m:val="p"/>
                </m:rPr>
                <m:t>,</m:t>
              </m:r>
              <m:r>
                <m:t>56</m:t>
              </m:r>
            </m:oMath>
            <w:r>
              <w:t xml:space="preserve"> </w:t>
            </w:r>
            <w:r>
              <w:t xml:space="preserve">(</w:t>
            </w:r>
            <m:oMath>
              <m:r>
                <m:t>p</m:t>
              </m:r>
              <m:r>
                <m:rPr>
                  <m:sty m:val="p"/>
                </m:rPr>
                <m:t>=</m:t>
              </m:r>
              <m:r>
                <m:rPr>
                  <m:sty m:val="p"/>
                </m:rPr>
                <m:t>,</m:t>
              </m:r>
              <m:r>
                <m:t>755</m:t>
              </m:r>
            </m:oMath>
            <w:r>
              <w:t xml:space="preserve">)</w:t>
            </w:r>
          </w:p>
        </w:tc>
        <w:tc>
          <w:tcPr/>
          <w:p>
            <w:pPr>
              <w:pStyle w:val="Compact"/>
              <w:jc w:val="left"/>
            </w:pPr>
            <w:r>
              <w:t xml:space="preserve">Không ý nghĩa</w:t>
            </w:r>
          </w:p>
        </w:tc>
      </w:tr>
      <w:tr>
        <w:tc>
          <w:tcPr/>
          <w:p>
            <w:pPr>
              <w:pStyle w:val="Compact"/>
              <w:jc w:val="left"/>
            </w:pPr>
            <w:r>
              <w:t xml:space="preserve">Lệch lạc công bố — Begg–Mazumdar</w:t>
            </w:r>
          </w:p>
        </w:tc>
        <w:tc>
          <w:tcPr/>
          <w:p>
            <w:pPr>
              <w:pStyle w:val="Compact"/>
              <w:jc w:val="right"/>
            </w:pPr>
            <m:oMath>
              <m:r>
                <m:t>τ</m:t>
              </m:r>
              <m:r>
                <m:rPr>
                  <m:sty m:val="p"/>
                </m:rPr>
                <m:t>=</m:t>
              </m:r>
              <m:r>
                <m:rPr>
                  <m:sty m:val="p"/>
                </m:rPr>
                <m:t>−</m:t>
              </m:r>
              <m:r>
                <m:t>0</m:t>
              </m:r>
              <m:r>
                <m:rPr>
                  <m:sty m:val="p"/>
                </m:rPr>
                <m:t>,</m:t>
              </m:r>
              <m:r>
                <m:t>132</m:t>
              </m:r>
            </m:oMath>
            <w:r>
              <w:t xml:space="preserve"> </w:t>
            </w:r>
            <w:r>
              <w:t xml:space="preserve">(</w:t>
            </w:r>
            <m:oMath>
              <m:r>
                <m:t>p</m:t>
              </m:r>
              <m:r>
                <m:rPr>
                  <m:sty m:val="p"/>
                </m:rPr>
                <m:t>=</m:t>
              </m:r>
              <m:r>
                <m:rPr>
                  <m:sty m:val="p"/>
                </m:rPr>
                <m:t>,</m:t>
              </m:r>
              <m:r>
                <m:t>001</m:t>
              </m:r>
            </m:oMath>
            <w:r>
              <w:t xml:space="preserve">)</w:t>
            </w:r>
          </w:p>
        </w:tc>
        <w:tc>
          <w:tcPr/>
          <w:p>
            <w:pPr>
              <w:pStyle w:val="Compact"/>
              <w:jc w:val="left"/>
            </w:pPr>
            <w:r>
              <w:t xml:space="preserve">Có ý nghĩa rõ rệt</w:t>
            </w:r>
          </w:p>
        </w:tc>
      </w:tr>
      <w:tr>
        <w:tc>
          <w:tcPr/>
          <w:p>
            <w:pPr>
              <w:pStyle w:val="Compact"/>
              <w:jc w:val="left"/>
            </w:pPr>
            <w:r>
              <w:t xml:space="preserve">Lệch lạc công bố — Egger</w:t>
            </w:r>
          </w:p>
        </w:tc>
        <w:tc>
          <w:tcPr/>
          <w:p>
            <w:pPr>
              <w:pStyle w:val="Compact"/>
              <w:jc w:val="right"/>
            </w:pPr>
            <m:oMath>
              <m:r>
                <m:t>b</m:t>
              </m:r>
              <m:r>
                <m:rPr>
                  <m:sty m:val="p"/>
                </m:rPr>
                <m:t>=</m:t>
              </m:r>
              <m:r>
                <m:t>0</m:t>
              </m:r>
              <m:r>
                <m:rPr>
                  <m:sty m:val="p"/>
                </m:rPr>
                <m:t>,</m:t>
              </m:r>
              <m:r>
                <m:t>487</m:t>
              </m:r>
            </m:oMath>
            <w:r>
              <w:t xml:space="preserve"> </w:t>
            </w:r>
            <w:r>
              <w:t xml:space="preserve">(</w:t>
            </w:r>
            <m:oMath>
              <m:r>
                <m:t>p</m:t>
              </m:r>
              <m:r>
                <m:rPr>
                  <m:sty m:val="p"/>
                </m:rPr>
                <m:t>=</m:t>
              </m:r>
              <m:r>
                <m:rPr>
                  <m:sty m:val="p"/>
                </m:rPr>
                <m:t>,</m:t>
              </m:r>
              <m:r>
                <m:t>052</m:t>
              </m:r>
            </m:oMath>
            <w:r>
              <w:t xml:space="preserve">)</w:t>
            </w:r>
          </w:p>
        </w:tc>
        <w:tc>
          <w:tcPr/>
          <w:p>
            <w:pPr>
              <w:pStyle w:val="Compact"/>
              <w:jc w:val="left"/>
            </w:pPr>
            <w:r>
              <w:t xml:space="preserve">Sát ngưỡng</w:t>
            </w:r>
          </w:p>
        </w:tc>
      </w:tr>
      <w:tr>
        <w:tc>
          <w:tcPr/>
          <w:p>
            <w:pPr>
              <w:pStyle w:val="Compact"/>
              <w:jc w:val="left"/>
            </w:pPr>
            <w:r>
              <w:t xml:space="preserve">Cắt và điền (trim-and-fill)</w:t>
            </w:r>
          </w:p>
        </w:tc>
        <w:tc>
          <w:tcPr/>
          <w:p>
            <w:pPr>
              <w:pStyle w:val="Compact"/>
              <w:jc w:val="right"/>
            </w:pPr>
            <m:oMath>
              <m:sSub>
                <m:e>
                  <m:acc>
                    <m:accPr>
                      <m:chr m:val="‾"/>
                    </m:accPr>
                    <m:e>
                      <m:r>
                        <m:t>r</m:t>
                      </m:r>
                    </m:e>
                  </m:acc>
                </m:e>
                <m:sub>
                  <m:r>
                    <m:rPr>
                      <m:nor/>
                      <m:sty m:val="p"/>
                    </m:rPr>
                    <m:t>adj</m:t>
                  </m:r>
                </m:sub>
              </m:sSub>
              <m:r>
                <m:rPr>
                  <m:sty m:val="p"/>
                </m:rPr>
                <m:t>=</m:t>
              </m:r>
              <m:r>
                <m:t>0</m:t>
              </m:r>
              <m:r>
                <m:rPr>
                  <m:sty m:val="p"/>
                </m:rPr>
                <m:t>,</m:t>
              </m:r>
              <m:r>
                <m:t>035</m:t>
              </m:r>
            </m:oMath>
            <w:r>
              <w:t xml:space="preserve"> </w:t>
            </w:r>
            <w:r>
              <w:t xml:space="preserve">(</w:t>
            </w:r>
            <m:oMath>
              <m:r>
                <m:t>k</m:t>
              </m:r>
              <m:r>
                <m:rPr>
                  <m:sty m:val="p"/>
                </m:rPr>
                <m:t>=</m:t>
              </m:r>
              <m:r>
                <m:t>57</m:t>
              </m:r>
            </m:oMath>
            <w:r>
              <w:t xml:space="preserve"> </w:t>
            </w:r>
            <w:r>
              <w:t xml:space="preserve">điền)</w:t>
            </w:r>
          </w:p>
        </w:tc>
        <w:tc>
          <w:tcPr/>
          <w:p>
            <w:pPr>
              <w:pStyle w:val="Compact"/>
              <w:jc w:val="left"/>
            </w:pPr>
            <w:r>
              <w:t xml:space="preserve">Ước lượng bảo thủ</w:t>
            </w:r>
          </w:p>
        </w:tc>
      </w:tr>
      <w:tr>
        <w:tc>
          <w:tcPr/>
          <w:p>
            <w:pPr>
              <w:pStyle w:val="Compact"/>
              <w:jc w:val="left"/>
            </w:pPr>
            <w:r>
              <w:t xml:space="preserve">Số an toàn</w:t>
            </w:r>
            <w:r>
              <w:t xml:space="preserve"> </w:t>
            </w:r>
            <m:oMath>
              <m:r>
                <m:t>N</m:t>
              </m:r>
            </m:oMath>
          </w:p>
        </w:tc>
        <w:tc>
          <w:tcPr/>
          <w:p>
            <w:pPr>
              <w:pStyle w:val="Compact"/>
              <w:jc w:val="right"/>
            </w:pPr>
            <w:r>
              <w:t xml:space="preserve">44.782</w:t>
            </w:r>
          </w:p>
        </w:tc>
        <w:tc>
          <w:tcPr/>
          <w:p>
            <w:pPr>
              <w:pStyle w:val="Compact"/>
              <w:jc w:val="left"/>
            </w:pPr>
            <w:r>
              <w:t xml:space="preserve">Vượt ngưỡng</w:t>
            </w:r>
            <w:r>
              <w:t xml:space="preserve"> </w:t>
            </w:r>
            <m:oMath>
              <m:r>
                <m:t>5</m:t>
              </m:r>
              <m:r>
                <m:t>k</m:t>
              </m:r>
              <m:r>
                <m:rPr>
                  <m:sty m:val="p"/>
                </m:rPr>
                <m:t>+</m:t>
              </m:r>
              <m:r>
                <m:t>10</m:t>
              </m:r>
              <m:r>
                <m:rPr>
                  <m:sty m:val="p"/>
                </m:rPr>
                <m:t>=</m:t>
              </m:r>
              <m:r>
                <m:t>1.200</m:t>
              </m:r>
            </m:oMath>
          </w:p>
        </w:tc>
      </w:tr>
    </w:tbl>
    <w:p>
      <w:pPr>
        <w:pStyle w:val="BodyText"/>
      </w:pPr>
      <w:r>
        <w:rPr>
          <w:iCs/>
          <w:i/>
        </w:rPr>
        <w:t xml:space="preserve">Nguồn: Mục 4.2.1–4.2.4. Hệ phân loại ICRV của P6 dùng năm chế độ rút gọn ở cấp nghiên cứu (I, II, III, biên thể chế yếu, hỗn hợp), khác hệ sáu nhóm cấp doanh nghiệp ở P7.</w:t>
      </w:r>
    </w:p>
    <w:bookmarkEnd w:id="332"/>
    <w:bookmarkStart w:id="333" w:name="X0316a686ea8058194f46a1c5cafd73f607f4c9c"/>
    <w:p>
      <w:pPr>
        <w:pStyle w:val="Heading2"/>
      </w:pPr>
      <w:r>
        <w:t xml:space="preserve">C.3 Điểm uốn theo sáu nhóm ICRV trong kiểm định toàn mẫu (P7)</w:t>
      </w:r>
    </w:p>
    <w:p>
      <w:pPr>
        <w:pStyle w:val="FirstParagraph"/>
      </w:pPr>
      <w:r>
        <w:rPr>
          <w:bCs/>
          <w:b/>
        </w:rPr>
        <w:t xml:space="preserve">Bảng C.3.</w:t>
      </w:r>
      <w:r>
        <w:t xml:space="preserve"> </w:t>
      </w:r>
      <w:r>
        <w:rPr>
          <w:iCs/>
          <w:i/>
        </w:rPr>
        <w:t xml:space="preserve">Điểm uốn theo nhóm ICRV trên khung 50 nền kinh tế (dạng M5 ước lượng riêng từng nhóm).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left"/>
            </w:pPr>
            <w:r>
              <w:t xml:space="preserve">Kết luận</w:t>
            </w:r>
          </w:p>
        </w:tc>
      </w:tr>
      <w:tr>
        <w:tc>
          <w:tcPr/>
          <w:p>
            <w:pPr>
              <w:pStyle w:val="Compact"/>
              <w:jc w:val="left"/>
            </w:pPr>
            <w:r>
              <w:t xml:space="preserve">I, Tiên tiến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left"/>
            </w:pPr>
            <w:r>
              <w:t xml:space="preserve">Gần tuyến tính dương; điểm uốn ngoài miền</w:t>
            </w:r>
          </w:p>
        </w:tc>
      </w:tr>
      <w:tr>
        <w:tc>
          <w:tcPr/>
          <w:p>
            <w:pPr>
              <w:pStyle w:val="Compact"/>
              <w:jc w:val="left"/>
            </w:pPr>
            <w:r>
              <w:t xml:space="preserve">II, Tiên tiến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left"/>
            </w:pPr>
            <w:r>
              <w:t xml:space="preserve">Không có chữ U ngược (đơn điệu âm)</w:t>
            </w:r>
          </w:p>
        </w:tc>
      </w:tr>
    </w:tbl>
    <w:p>
      <w:pPr>
        <w:pStyle w:val="BodyText"/>
      </w:pPr>
      <w:r>
        <w:rPr>
          <w:iCs/>
          <w:i/>
        </w:rPr>
        <w:t xml:space="preserve">Nguồn: Mục 4.6.2 (Bảng 4.7). Giá trị trong ngoặc vuông là điểm uốn đại số khi đường cong không được xác nhận thống kê. Ba vùng thể chế: chữ U ngược rõ nét ở vùng giữa (Nhóm IV), duỗi thẳng ở biên trên (Nhóm I), mất cấu trúc ở biên dưới (Nhóm V–VI).</w:t>
      </w:r>
    </w:p>
    <w:bookmarkEnd w:id="333"/>
    <w:bookmarkStart w:id="334" w:name="Xa159f7e3223ee74e8ee80d909f862fa77064b29"/>
    <w:p>
      <w:pPr>
        <w:pStyle w:val="Heading2"/>
      </w:pPr>
      <w:r>
        <w:t xml:space="preserve">C.4 Tóm tắt kiểm định độ vững theo từng nghiên cứu</w:t>
      </w:r>
    </w:p>
    <w:p>
      <w:pPr>
        <w:pStyle w:val="FirstParagraph"/>
      </w:pPr>
      <w:r>
        <w:rPr>
          <w:bCs/>
          <w:b/>
        </w:rPr>
        <w:t xml:space="preserve">Bảng C.4.</w:t>
      </w:r>
      <w:r>
        <w:t xml:space="preserve"> </w:t>
      </w:r>
      <w:r>
        <w:rPr>
          <w:iCs/>
          <w:i/>
        </w:rPr>
        <w:t xml:space="preserve">Kiểm định độ vững trọng tâm và kết luận của từng nghiên cứu thành phần.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Nghiên cứu</w:t>
            </w:r>
          </w:p>
        </w:tc>
        <w:tc>
          <w:tcPr/>
          <w:p>
            <w:pPr>
              <w:pStyle w:val="Compact"/>
              <w:jc w:val="left"/>
            </w:pPr>
            <w:r>
              <w:t xml:space="preserve">Kiểm định độ vững trọng tâm</w:t>
            </w:r>
          </w:p>
        </w:tc>
        <w:tc>
          <w:tcPr/>
          <w:p>
            <w:pPr>
              <w:pStyle w:val="Compact"/>
              <w:jc w:val="left"/>
            </w:pPr>
            <w:r>
              <w:t xml:space="preserve">Kết luận</w:t>
            </w:r>
          </w:p>
        </w:tc>
      </w:tr>
      <w:tr>
        <w:tc>
          <w:tcPr/>
          <w:p>
            <w:pPr>
              <w:pStyle w:val="Compact"/>
              <w:jc w:val="left"/>
            </w:pPr>
            <w:r>
              <w:t xml:space="preserve">P3 Việt Nam</w:t>
            </w:r>
          </w:p>
        </w:tc>
        <w:tc>
          <w:tcPr/>
          <w:p>
            <w:pPr>
              <w:pStyle w:val="Compact"/>
              <w:jc w:val="left"/>
            </w:pPr>
            <w:r>
              <w:t xml:space="preserve">Tách ngành, mô hình bậc ba, biến công cụ cho TCI (</w:t>
            </w:r>
            <m:oMath>
              <m:r>
                <m:t>β</m:t>
              </m:r>
              <m:r>
                <m:rPr>
                  <m:sty m:val="p"/>
                </m:rPr>
                <m:t>=</m:t>
              </m:r>
              <m:r>
                <m:t>1</m:t>
              </m:r>
              <m:r>
                <m:rPr>
                  <m:sty m:val="p"/>
                </m:rPr>
                <m:t>,</m:t>
              </m:r>
              <m:r>
                <m:t>639</m:t>
              </m:r>
            </m:oMath>
            <w:r>
              <w:t xml:space="preserve">,</w:t>
            </w:r>
            <w:r>
              <w:t xml:space="preserve"> </w:t>
            </w:r>
            <m:oMath>
              <m:r>
                <m:t>F</m:t>
              </m:r>
              <m:r>
                <m:rPr>
                  <m:sty m:val="p"/>
                </m:rPr>
                <m:t>=</m:t>
              </m:r>
              <m:r>
                <m:t>22</m:t>
              </m:r>
              <m:r>
                <m:rPr>
                  <m:sty m:val="p"/>
                </m:rPr>
                <m:t>,</m:t>
              </m:r>
              <m:r>
                <m:t>1</m:t>
              </m:r>
            </m:oMath>
            <w:r>
              <w:t xml:space="preserve">) và DAI (</w:t>
            </w:r>
            <m:oMath>
              <m:r>
                <m:t>β</m:t>
              </m:r>
              <m:r>
                <m:rPr>
                  <m:sty m:val="p"/>
                </m:rPr>
                <m:t>=</m:t>
              </m:r>
              <m:r>
                <m:t>0</m:t>
              </m:r>
              <m:r>
                <m:rPr>
                  <m:sty m:val="p"/>
                </m:rPr>
                <m:t>,</m:t>
              </m:r>
              <m:r>
                <m:t>018</m:t>
              </m:r>
            </m:oMath>
            <w:r>
              <w:t xml:space="preserve">,</w:t>
            </w:r>
            <w:r>
              <w:t xml:space="preserve"> </w:t>
            </w:r>
            <m:oMath>
              <m:r>
                <m:t>F</m:t>
              </m:r>
              <m:r>
                <m:rPr>
                  <m:sty m:val="p"/>
                </m:rPr>
                <m:t>=</m:t>
              </m:r>
              <m:r>
                <m:t>34</m:t>
              </m:r>
              <m:r>
                <m:rPr>
                  <m:sty m:val="p"/>
                </m:rPr>
                <m:t>,</m:t>
              </m:r>
              <m:r>
                <m:t>6</m:t>
              </m:r>
            </m:oMath>
            <w:r>
              <w:t xml:space="preserve">)</w:t>
            </w:r>
          </w:p>
        </w:tc>
        <w:tc>
          <w:tcPr/>
          <w:p>
            <w:pPr>
              <w:pStyle w:val="Compact"/>
              <w:jc w:val="left"/>
            </w:pPr>
            <w:r>
              <w:t xml:space="preserve">Chữ U ngược và TCI nhân quả vững; DAI phụ thuộc chọn lựa, không nhân quả</w:t>
            </w:r>
          </w:p>
        </w:tc>
      </w:tr>
      <w:tr>
        <w:tc>
          <w:tcPr/>
          <w:p>
            <w:pPr>
              <w:pStyle w:val="Compact"/>
              <w:jc w:val="left"/>
            </w:pPr>
            <w:r>
              <w:t xml:space="preserve">P4 Singapore</w:t>
            </w:r>
          </w:p>
        </w:tc>
        <w:tc>
          <w:tcPr/>
          <w:p>
            <w:pPr>
              <w:pStyle w:val="Compact"/>
              <w:jc w:val="left"/>
            </w:pPr>
            <w:r>
              <w:t xml:space="preserve">Bootstrap 5.000 lần (chữ U ngược tái lập 96,3%), VIF &lt; 3, mẫu phụ xuất khẩu, đảo chỗ chỉ báo, hiệu chỉnh Heckman</w:t>
            </w:r>
          </w:p>
        </w:tc>
        <w:tc>
          <w:tcPr/>
          <w:p>
            <w:pPr>
              <w:pStyle w:val="Compact"/>
              <w:jc w:val="left"/>
            </w:pPr>
            <w:r>
              <w:t xml:space="preserve">Cơ chế khuếch đại (lá chắn số) vững; cảnh báo công suất thấp (</w:t>
            </w:r>
            <m:oMath>
              <m:r>
                <m:t>N</m:t>
              </m:r>
              <m:r>
                <m:rPr>
                  <m:sty m:val="p"/>
                </m:rPr>
                <m:t>=</m:t>
              </m:r>
              <m:r>
                <m:t>84</m:t>
              </m:r>
            </m:oMath>
            <w:r>
              <w:t xml:space="preserve"> </w:t>
            </w:r>
            <w:r>
              <w:t xml:space="preserve">ở mẫu phụ)</w:t>
            </w:r>
          </w:p>
        </w:tc>
      </w:tr>
      <w:tr>
        <w:tc>
          <w:tcPr/>
          <w:p>
            <w:pPr>
              <w:pStyle w:val="Compact"/>
              <w:jc w:val="left"/>
            </w:pPr>
            <w:r>
              <w:t xml:space="preserve">P5 Trung Quốc</w:t>
            </w:r>
          </w:p>
        </w:tc>
        <w:tc>
          <w:tcPr/>
          <w:p>
            <w:pPr>
              <w:pStyle w:val="Compact"/>
              <w:jc w:val="left"/>
            </w:pPr>
            <w:r>
              <w:t xml:space="preserve">Mẫu phụ chỉ ngành sản xuất (</w:t>
            </w:r>
            <m:oMath>
              <m:r>
                <m:t>N</m:t>
              </m:r>
              <m:r>
                <m:rPr>
                  <m:sty m:val="p"/>
                </m:rPr>
                <m:t>=</m:t>
              </m:r>
              <m:r>
                <m:t>2.718</m:t>
              </m:r>
            </m:oMath>
            <w:r>
              <w:t xml:space="preserve">), Paternoster chéo đợt, hiệu ứng cố định ngành</w:t>
            </w:r>
          </w:p>
        </w:tc>
        <w:tc>
          <w:tcPr/>
          <w:p>
            <w:pPr>
              <w:pStyle w:val="Compact"/>
              <w:jc w:val="left"/>
            </w:pPr>
            <w:r>
              <w:t xml:space="preserve">Điểm uốn giữ trong dải an toàn 30–60%; ổn định theo thời gian được bảo toàn</w:t>
            </w:r>
          </w:p>
        </w:tc>
      </w:tr>
      <w:tr>
        <w:tc>
          <w:tcPr/>
          <w:p>
            <w:pPr>
              <w:pStyle w:val="Compact"/>
              <w:jc w:val="left"/>
            </w:pPr>
            <w:r>
              <w:t xml:space="preserve">P6 Meta-analysis</w:t>
            </w:r>
          </w:p>
        </w:tc>
        <w:tc>
          <w:tcPr/>
          <w:p>
            <w:pPr>
              <w:pStyle w:val="Compact"/>
              <w:jc w:val="left"/>
            </w:pPr>
            <w:r>
              <w:t xml:space="preserve">Ba kiểm định lệch lạc công bố, cắt và điền, số an toàn N, bằng chứng chéo ICBEF 2024 (k=113, r=0,07)</w:t>
            </w:r>
          </w:p>
        </w:tc>
        <w:tc>
          <w:tcPr/>
          <w:p>
            <w:pPr>
              <w:pStyle w:val="Compact"/>
              <w:jc w:val="left"/>
            </w:pPr>
            <w:r>
              <w:t xml:space="preserve">Hiệu ứng gộp dương vững; điều tiết thể chế (</w:t>
            </w:r>
            <m:oMath>
              <m:sSub>
                <m:e>
                  <m:r>
                    <m:t>Q</m:t>
                  </m:r>
                </m:e>
                <m:sub>
                  <m:r>
                    <m:t>M</m:t>
                  </m:r>
                </m:sub>
              </m:sSub>
            </m:oMath>
            <w:r>
              <w:t xml:space="preserve">) có ý nghĩa; cỡ hiệu ứng thận trọng 0,035</w:t>
            </w:r>
          </w:p>
        </w:tc>
      </w:tr>
      <w:tr>
        <w:tc>
          <w:tcPr/>
          <w:p>
            <w:pPr>
              <w:pStyle w:val="Compact"/>
              <w:jc w:val="left"/>
            </w:pPr>
            <w:r>
              <w:t xml:space="preserve">P7 50 nền</w:t>
            </w:r>
          </w:p>
        </w:tc>
        <w:tc>
          <w:tcPr/>
          <w:p>
            <w:pPr>
              <w:pStyle w:val="Compact"/>
              <w:jc w:val="left"/>
            </w:pPr>
            <w:r>
              <w:t xml:space="preserve">Điểm uốn ổn định dải 43,6–51,5% qua M2–M10; cụm nhỏ, đa kiểm định, bất biến đo lường, kiểm soát chọn lọc (Mục 4.6.8)</w:t>
            </w:r>
          </w:p>
        </w:tc>
        <w:tc>
          <w:tcPr/>
          <w:p>
            <w:pPr>
              <w:pStyle w:val="Compact"/>
              <w:jc w:val="left"/>
            </w:pPr>
            <w:r>
              <w:t xml:space="preserve">Cấu trúc ba vùng thể chế vững; chữ U ngược không phải tạo tác mẫu nhỏ</w:t>
            </w:r>
          </w:p>
        </w:tc>
      </w:tr>
      <w:tr>
        <w:tc>
          <w:tcPr/>
          <w:p>
            <w:pPr>
              <w:pStyle w:val="Compact"/>
              <w:jc w:val="left"/>
            </w:pPr>
            <w:r>
              <w:t xml:space="preserve">P8 SIDS</w:t>
            </w:r>
          </w:p>
        </w:tc>
        <w:tc>
          <w:tcPr/>
          <w:p>
            <w:pPr>
              <w:pStyle w:val="Compact"/>
              <w:jc w:val="left"/>
            </w:pPr>
            <w:r>
              <w:t xml:space="preserve">Bootstrap cụm hoang dã (B=9.999), mở rộng chín nền (</w:t>
            </w:r>
            <m:oMath>
              <m:r>
                <m:t>N</m:t>
              </m:r>
              <m:r>
                <m:rPr>
                  <m:sty m:val="p"/>
                </m:rPr>
                <m:t>=</m:t>
              </m:r>
              <m:r>
                <m:t>1.469</m:t>
              </m:r>
            </m:oMath>
            <w:r>
              <w:t xml:space="preserve">), bỏ kiểm soát sở hữu nước ngoài (</w:t>
            </w:r>
            <m:oMath>
              <m:r>
                <m:t>N</m:t>
              </m:r>
              <m:r>
                <m:rPr>
                  <m:sty m:val="p"/>
                </m:rPr>
                <m:t>=</m:t>
              </m:r>
              <m:r>
                <m:t>950</m:t>
              </m:r>
            </m:oMath>
            <w:r>
              <w:t xml:space="preserve">)</w:t>
            </w:r>
          </w:p>
        </w:tc>
        <w:tc>
          <w:tcPr/>
          <w:p>
            <w:pPr>
              <w:pStyle w:val="Compact"/>
              <w:jc w:val="left"/>
            </w:pPr>
            <w:r>
              <w:t xml:space="preserve">Chữ U ngược mất cấu trúc (phát hiện vững); độ lớn FIP nhạy phiên bản dữ liệu (thăm dò)</w:t>
            </w:r>
          </w:p>
        </w:tc>
      </w:tr>
      <w:tr>
        <w:tc>
          <w:tcPr/>
          <w:p>
            <w:pPr>
              <w:pStyle w:val="Compact"/>
              <w:jc w:val="left"/>
            </w:pPr>
            <w:r>
              <w:t xml:space="preserve">P9 Ấn Độ</w:t>
            </w:r>
          </w:p>
        </w:tc>
        <w:tc>
          <w:tcPr/>
          <w:p>
            <w:pPr>
              <w:pStyle w:val="Compact"/>
              <w:jc w:val="left"/>
            </w:pPr>
            <w:r>
              <w:t xml:space="preserve">Paternoster dưới HC1 và cụm theo bang (</w:t>
            </w:r>
            <m:oMath>
              <m:r>
                <m:t>G</m:t>
              </m:r>
              <m:r>
                <m:rPr>
                  <m:sty m:val="p"/>
                </m:rPr>
                <m:t>=</m:t>
              </m:r>
              <m:r>
                <m:t>24</m:t>
              </m:r>
            </m:oMath>
            <w:r>
              <w:t xml:space="preserve">):</w:t>
            </w:r>
            <w:r>
              <w:t xml:space="preserve"> </w:t>
            </w:r>
            <m:oMath>
              <m:r>
                <m:t>z</m:t>
              </m:r>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mô hình gộp ba đợt với biến giả</w:t>
            </w:r>
          </w:p>
        </w:tc>
        <w:tc>
          <w:tcPr/>
          <w:p>
            <w:pPr>
              <w:pStyle w:val="Compact"/>
              <w:jc w:val="left"/>
            </w:pPr>
            <w:r>
              <w:t xml:space="preserve">Tan biến ngưỡng vững qua hai phương án sai số chuẩn</w:t>
            </w:r>
          </w:p>
        </w:tc>
      </w:tr>
      <w:tr>
        <w:tc>
          <w:tcPr/>
          <w:p>
            <w:pPr>
              <w:pStyle w:val="Compact"/>
              <w:jc w:val="left"/>
            </w:pPr>
            <w:r>
              <w:t xml:space="preserve">P10 Nhật Bản</w:t>
            </w:r>
          </w:p>
        </w:tc>
        <w:tc>
          <w:tcPr/>
          <w:p>
            <w:pPr>
              <w:pStyle w:val="Compact"/>
              <w:jc w:val="left"/>
            </w:pPr>
            <w:r>
              <w:t xml:space="preserve">Định vị biên trên ICRV; số hạng bậc hai không ý nghĩa, điểm uốn đại số ngoài miền</w:t>
            </w:r>
          </w:p>
        </w:tc>
        <w:tc>
          <w:tcPr/>
          <w:p>
            <w:pPr>
              <w:pStyle w:val="Compact"/>
              <w:jc w:val="left"/>
            </w:pPr>
            <w:r>
              <w:t xml:space="preserve">Quan hệ gần tuyến tính dương đúng dự đoán biên trên của phổ thể chế</w:t>
            </w:r>
          </w:p>
        </w:tc>
      </w:tr>
    </w:tbl>
    <w:p>
      <w:pPr>
        <w:pStyle w:val="BodyText"/>
      </w:pPr>
      <w:r>
        <w:rPr>
          <w:iCs/>
          <w:i/>
        </w:rPr>
        <w:t xml:space="preserve">Nguồn: Mục 4.3.9, 4.4.7, 4.5.10, 4.2.4, 4.6.8, 4.7.7–4.7.8, 4.8 và 4.1.5. Bằng chứng bổ trợ P2 (doanh nghiệp nhỏ và vừa Trung Quốc, đã công bố JFAR): 4.290 quan sát, điểm uốn 47,8%, sát ngưỡng P5, cơ chế bẫy vốn lưu động (Mục 4.4.8).</w:t>
      </w:r>
    </w:p>
    <w:p>
      <w:r>
        <w:br w:type="page"/>
      </w:r>
    </w:p>
    <w:bookmarkEnd w:id="334"/>
    <w:bookmarkEnd w:id="33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87" Target="media/rId87.png" /><Relationship Type="http://schemas.openxmlformats.org/officeDocument/2006/relationships/image" Id="rId154" Target="media/rId154.png" /><Relationship Type="http://schemas.openxmlformats.org/officeDocument/2006/relationships/image" Id="rId151" Target="media/rId151.png" /><Relationship Type="http://schemas.openxmlformats.org/officeDocument/2006/relationships/image" Id="rId171" Target="media/rId171.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234" Target="media/rId234.png" /><Relationship Type="http://schemas.openxmlformats.org/officeDocument/2006/relationships/image" Id="rId174" Target="media/rId174.png" /><Relationship Type="http://schemas.openxmlformats.org/officeDocument/2006/relationships/image" Id="rId222" Target="media/rId222.png" /><Relationship Type="http://schemas.openxmlformats.org/officeDocument/2006/relationships/image" Id="rId168" Target="media/rId16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2026-06-25T17:35:51Z</dcterms:created>
  <dcterms:modified xsi:type="dcterms:W3CDTF">2026-06-25T17:35:51Z</dcterms:modified>
</cp:coreProperties>
</file>

<file path=docProps/custom.xml><?xml version="1.0" encoding="utf-8"?>
<Properties xmlns="http://schemas.openxmlformats.org/officeDocument/2006/custom-properties" xmlns:vt="http://schemas.openxmlformats.org/officeDocument/2006/docPropsVTypes"/>
</file>