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iCs/>
          <w:i/>
        </w:rPr>
        <w:t xml:space="preserve">Target journal: Management International Review (MIR)</w:t>
      </w:r>
    </w:p>
    <w:bookmarkStart w:id="20" w:name="abstract"/>
    <w:p>
      <w:pPr>
        <w:pStyle w:val="Heading2"/>
      </w:pPr>
      <w:r>
        <w:t xml:space="preserve">Abstract</w:t>
      </w:r>
    </w:p>
    <w:p>
      <w:pPr>
        <w:pStyle w:val="FirstParagraph"/>
      </w:pPr>
      <w:r>
        <w:t xml:space="preserve">This study examines how technological capability and digital adoption relate to the internationalization–performance (I–P) relationship among firms in Singapore. Singapore is treated as a boundary-case test at the advanced-economy ceiling of the institutional spectrum, which shows how the conventional nonlinear logic behaves when digital infrastructure is near-universally diffused and institutional transaction costs are lowest. Using World Bank Enterprise Survey microdata for Singapore 2023, the analysis distinguishes a Technological Capability Index (TCI), capturing firm-internal capability depth, from a Digital Adoption Index (DAI), capturing foundational digital interfaces. Three findings emerge. Within the observed export-intensity range, the I–P relationship is better characterized as predominantly positive with mild quadratic curvature than as a formally identified inverted-U, with the fitted turning point imprecisely located in a sparsely populated upper tail. Technological capability is positively associated with labour productivity, with no statistically distinguishable TCI moderation under the present design. Digital adoption exhibits no large uniform productivity premium, and its association with productivity strengthens only at higher export intensity. Because we report associations rather than effects, the evidence sharpens the distinction between technological capability and foundational digital adoption; this implies that digital adoption functions more as a contingent scaling resource than a uniform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p>
    <w:bookmarkEnd w:id="20"/>
    <w:bookmarkStart w:id="25" w:name="Xe3d0fc0bea9a42ce7605565d0964033d7f6ee47"/>
    <w:p>
      <w:pPr>
        <w:pStyle w:val="Heading2"/>
      </w:pPr>
      <w:r>
        <w:t xml:space="preserve">1 Introduction</w:t>
      </w:r>
    </w:p>
    <w:bookmarkStart w:id="21" w:name="Xe5b26b80b1cffd635bf6d81ca2944b40daaf62d"/>
    <w:p>
      <w:pPr>
        <w:pStyle w:val="Heading3"/>
      </w:pPr>
      <w:r>
        <w:t xml:space="preserve">1.1 Background and motivation</w:t>
      </w:r>
    </w:p>
    <w:p>
      <w:pPr>
        <w:pStyle w:val="FirstParagraph"/>
      </w:pP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However, much of this literature was developed in pre-digital or transitional-digital settings, where institutional and infrastructural conditions differ substantially from those of digitally advanced economies (Peng 2003; Peng et al. 2008) and may not fully capture how the I–P curve behaves when firms operate in a digitally advanced institutional environment.</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Viewed against the broader institutional spectrum, Singapore represents the high-institution boundary case of what may be termed</w:t>
      </w:r>
      <w:r>
        <w:t xml:space="preserve"> </w:t>
      </w:r>
      <w:r>
        <w:rPr>
          <w:iCs/>
          <w:i/>
        </w:rPr>
        <w:t xml:space="preserve">internationalization-to-scale</w:t>
      </w:r>
      <w:r>
        <w:t xml:space="preserve">: where transaction costs are lowest and contract enforcement is strongest, exporting functions less as a hazardous escape from a constraining home environment and more as a route to optimizing margins, so that returns to international expansion remain near-monotonically positive and the turning point, if any, is pushed very late into the export-intensity distribution. This contrasts with weak-institution settings, where firms may internationalize to survive and the right-side decline materializes earlier.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what this study terms a</w:t>
      </w:r>
      <w:r>
        <w:t xml:space="preserve"> </w:t>
      </w:r>
      <w:r>
        <w:rPr>
          <w:iCs/>
          <w:i/>
        </w:rPr>
        <w:t xml:space="preserve">digital saturation paradox</w:t>
      </w:r>
      <w:r>
        <w:t xml:space="preserve">. Where Tier 1–2 digital interfaces (websites, electronic payment systems) are already widely diffused, these tools function as hygiene factors for domestic operations rather than as differentiating assets. The sample bears this out: 82% of firms report zero exports, while only 3% exceed 50% foreign sales to total sales, a striking domestic orientation despite the economy's mature digital infrastructure. The productivity returns to foundational digital adoption should not, therefore, be expected to manifest uniformly across all firms. They should instead become measurable primarily when firms face the intensified coordination and transaction demands of cross-border activity. Singapore serves here not merely as a convenient empirical backdrop, but as an analytically ideal stress test: an environment in which the conditional logic of foundational digital adoption is most legible precisely because domestic saturation removes the uniform-premium effect and leaves only the export-contingent signal.</w:t>
      </w:r>
      <w:r>
        <w:t xml:space="preserve"> </w:t>
      </w:r>
      <w:r>
        <w:t xml:space="preserve">A second motivation concerns construct clarity. In digitally advanced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p>
    <w:bookmarkEnd w:id="21"/>
    <w:bookmarkStart w:id="22" w:name="X2961a496af63dca26d6e29b654ead2e696c6fdd"/>
    <w:p>
      <w:pPr>
        <w:pStyle w:val="Heading3"/>
      </w:pPr>
      <w:r>
        <w:t xml:space="preserve">1.2 Research gap</w:t>
      </w:r>
    </w:p>
    <w:p>
      <w:pPr>
        <w:pStyle w:val="FirstParagraph"/>
      </w:pPr>
      <w:r>
        <w:t xml:space="preserve">Three gaps motivate this study. The first concerns construct bundling. Prior research has often folded digitalization-related firm attributes into broad umbrella constructs, which makes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t xml:space="preserve"> </w:t>
      </w:r>
      <w:r>
        <w:t xml:space="preserve">A second gap is empirical. While work on digital internationalization has generated important conceptual advances, firm-level evidence remains thin on how basic digital adoption relates to export intensity within a single digitally advanced institutional environment. The literature still says little about whether foundational digital tools matter uniformly across firms or become more relevant only when cross-border coordination demands intensify. Focusing on Tier 1–2 adoption, the most widely diffused and comparable digital layer, is therefore a deliberate design choice. If even these foundational tools exhibit export-contingent productivity associations, higher-tier technologies (automation, integrated ERP, AI-enabled systems) should produce even stronger differentiation, which makes this the most conservative and replicable test of the conditional digital adoption hypothesis.</w:t>
      </w:r>
      <w:r>
        <w:t xml:space="preserve"> </w:t>
      </w:r>
      <w:r>
        <w:t xml:space="preserve">The remaining gap is interpretive. The nonlinear internationalization–performance literature has documented inverted-U patterns extensively, yet how such patterns should be read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within the same empirical framework.</w:t>
      </w:r>
    </w:p>
    <w:bookmarkEnd w:id="22"/>
    <w:bookmarkStart w:id="23" w:name="X494b14dde48fd709c427dcfac91526fdde5ec7e"/>
    <w:p>
      <w:pPr>
        <w:pStyle w:val="Heading3"/>
      </w:pPr>
      <w:r>
        <w:t xml:space="preserve">1.3 Contribution</w:t>
      </w:r>
    </w:p>
    <w:p>
      <w:pPr>
        <w:pStyle w:val="FirstParagraph"/>
      </w:pPr>
      <w:r>
        <w:t xml:space="preserve">This study makes one primary contribution and two supporting contributions. Its primary contribution is to show that foundational digital adoption (DAI) functions as a conditional scaling resource rather than a uniform productivity premium in a digitally advanced economy: the productivity association of Tier 1–2 digital adoption is weak across most of the export-intensity distribution and becomes more positive only in the high-export tail, where cross-border coordination demands are densest. This within-context evidence from Singapore supports a contingent digital complementarity mechanism, with DAI acting as a scaling lever whose value is realised under export-intensity conditions rather than as a broad firm-level capability advantage. The evidence for this mechanism (H4: positive quadratic DAI</w:t>
      </w:r>
      <m:oMath>
        <m:r>
          <m:rPr>
            <m:sty m:val="p"/>
          </m:rPr>
          <m:t>×</m:t>
        </m:r>
      </m:oMath>
      <m:oMath>
        <m:sSup>
          <m:e>
            <m:r>
              <m:rPr>
                <m:sty m:val="p"/>
              </m:rPr>
              <m:t>F</m:t>
            </m:r>
            <m:r>
              <m:rPr>
                <m:sty m:val="p"/>
              </m:rPr>
              <m:t>S</m:t>
            </m:r>
            <m:r>
              <m:rPr>
                <m:sty m:val="p"/>
              </m:rPr>
              <m:t>T</m:t>
            </m:r>
            <m:r>
              <m:rPr>
                <m:sty m:val="p"/>
              </m:rPr>
              <m:t>S</m:t>
            </m:r>
          </m:e>
          <m:sup>
            <m:r>
              <m:t>2</m:t>
            </m:r>
          </m:sup>
        </m:sSup>
      </m:oMath>
      <w:r>
        <w:t xml:space="preserve"> </w:t>
      </w:r>
      <w:r>
        <w:t xml:space="preserve">interaction,</w:t>
      </w:r>
      <w:r>
        <w:t xml:space="preserve"> </w:t>
      </w:r>
      <m:oMath>
        <m:r>
          <m:t>β</m:t>
        </m:r>
      </m:oMath>
      <w:r>
        <w:t xml:space="preserve">=+3.119, p = .005) is the most distinctive empirical finding, and the one least anticipated by prior literature.</w:t>
      </w:r>
      <w:r>
        <w:t xml:space="preserve"> </w:t>
      </w:r>
      <w:r>
        <w:t xml:space="preserve">The first supporting contribution qualifies the conventional nonlinear I–P literature. Within the observed export-intensity range, the fitted quadratic is more defensibly read as predominantly positive with mild curvature than as a formally established inverted-U: the implied turning point lies near FSTS=82%, in a sparsely populated upper tail, and the Lind–Mehlum test does not formally confirm a right-side decline at conventional thresholds. In a digitally mature economy where Tier 1–2 coordination tools are widely diffused, this is an informative positive null, consistent with the saturation hypothesis, rather than an anomaly. The study therefore qualifies rather than overturns the nonlinear I–P literature.</w:t>
      </w:r>
      <w:r>
        <w:t xml:space="preserve"> </w:t>
      </w:r>
      <w:r>
        <w:t xml:space="preserve">The second supporting contribution is construct clarification. The analysis distinguishes technological capability (TCI) from foundational digital adoption (DAI), separating firm-internal capability depth from digitally enabled interfaces and transaction mechanisms. This distinction matters because the two constructs are associated with firm performance through different empirical patterns: TCI shows a more stable direct productivity association, whereas DAI shows a contingent export-intensity-dependent pattern.</w:t>
      </w:r>
    </w:p>
    <w:bookmarkEnd w:id="23"/>
    <w:bookmarkStart w:id="24" w:name="Xdd618d9602139b0eee88c4277e195c55d104c48"/>
    <w:p>
      <w:pPr>
        <w:pStyle w:val="Heading3"/>
      </w:pPr>
      <w:r>
        <w:t xml:space="preserve">1.4 Roadmap</w:t>
      </w:r>
    </w:p>
    <w:p>
      <w:pPr>
        <w:pStyle w:val="FirstParagraph"/>
      </w:pPr>
      <w:r>
        <w:t xml:space="preserve">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p>
    <w:bookmarkEnd w:id="24"/>
    <w:bookmarkEnd w:id="25"/>
    <w:bookmarkStart w:id="37" w:name="X8bf20a63f0decf7b16e99d564b9958ec4fbbb23"/>
    <w:p>
      <w:pPr>
        <w:pStyle w:val="Heading2"/>
      </w:pPr>
      <w:r>
        <w:t xml:space="preserve">2 Theory and Hypotheses</w:t>
      </w:r>
    </w:p>
    <w:bookmarkStart w:id="26" w:name="X9497e0c582d29cdf214e76507e8fbbcc0b6d410"/>
    <w:p>
      <w:pPr>
        <w:pStyle w:val="Heading3"/>
      </w:pPr>
      <w:r>
        <w:t xml:space="preserve">2.1 The internationalization–performance relationship</w:t>
      </w:r>
    </w:p>
    <w:p>
      <w:pPr>
        <w:pStyle w:val="FirstParagraph"/>
      </w:pP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not only on theory but also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p>
    <w:bookmarkEnd w:id="26"/>
    <w:bookmarkStart w:id="27" w:name="X58009fa5124754b9d12ae223bf3908d651fea58"/>
    <w:p>
      <w:pPr>
        <w:pStyle w:val="Heading3"/>
      </w:pPr>
      <w:r>
        <w:t xml:space="preserve">2.2 Two distinct constructs: TCI and DAI</w:t>
      </w:r>
    </w:p>
    <w:p>
      <w:pPr>
        <w:pStyle w:val="FirstParagraph"/>
      </w:pP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 “digital capability” 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p>
    <w:bookmarkEnd w:id="27"/>
    <w:bookmarkStart w:id="32" w:name="Xfeb3205642325e47f2817bab2cc060c9f999b02"/>
    <w:p>
      <w:pPr>
        <w:pStyle w:val="Heading3"/>
      </w:pPr>
      <w:r>
        <w:t xml:space="preserve">2.3 Hypothesis development</w:t>
      </w:r>
    </w:p>
    <w:bookmarkStart w:id="28" w:name="X9de0e934912487c2b2355f424516474f67bf4ef"/>
    <w:p>
      <w:pPr>
        <w:pStyle w:val="Heading4"/>
      </w:pPr>
      <w:r>
        <w:t xml:space="preserve">2.3.1 TCI direct effect on productivity</w:t>
      </w:r>
    </w:p>
    <w:p>
      <w:pPr>
        <w:pStyle w:val="FirstParagraph"/>
      </w:pP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all of which are associated with a higher productivity floor, reflected in operational efficiency, product quality, and learning routines (Avenyo et al. 2021; Krammer et al. 2018). We therefore hypothesize:</w:t>
      </w:r>
      <w:r>
        <w:t xml:space="preserve"> </w:t>
      </w:r>
      <w:r>
        <w:t xml:space="preserve">Hypothesis 1 (H1). Technological capability (TCI) is positively associated with firm performance in Singapore.</w:t>
      </w:r>
    </w:p>
    <w:bookmarkEnd w:id="28"/>
    <w:bookmarkStart w:id="29" w:name="Xd77aef7f084e33ec0dd33a50710ed9d88a5bd5f"/>
    <w:p>
      <w:pPr>
        <w:pStyle w:val="Heading4"/>
      </w:pPr>
      <w:r>
        <w:t xml:space="preserve">2.3.2 TCI moderation of the I–P relationship</w:t>
      </w:r>
    </w:p>
    <w:p>
      <w:pPr>
        <w:pStyle w:val="FirstParagraph"/>
      </w:pPr>
      <w:r>
        <w:t xml:space="preserve">A subtler prediction concerns whether technological capability alters the shape of the internationalization–performance relationship rather than simply raising average productivity. From a non-location-bound firm-specific advantage perspective (Rugman &amp; Verbeke, 2004),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H3, and H4 only; a TCI moderation hypothesis (labelled H2 in the companion Vietnam and China papers in this series) is not posited for the Singapore context, where the advanced-economy setting and near-universal digital diffusion do not generate the institutional heterogeneity that would support a confident ex-ante prediction about TCI-contingent I–P curvature.</w:t>
      </w:r>
    </w:p>
    <w:bookmarkEnd w:id="29"/>
    <w:bookmarkStart w:id="30" w:name="Xca797cdf899e8025c95598929e8214dfe008510"/>
    <w:p>
      <w:pPr>
        <w:pStyle w:val="Heading4"/>
      </w:pPr>
      <w:r>
        <w:t xml:space="preserve">2.3.3 DAI direct effect on productivity</w:t>
      </w:r>
    </w:p>
    <w:p>
      <w:pPr>
        <w:pStyle w:val="FirstParagraph"/>
      </w:pPr>
      <w:r>
        <w:t xml:space="preserve">Digital adoption is associated with firm performance through faster information flows, lower transaction frictions, and more efficient digital exchange, but such associations are unlikely to be uniform across firms and may emerge only after complementary organisational adjustments accumulate (Brynjolfsson, Rock, &amp; Syverson, 2021).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3 (H3). The productivity association of digital adoption (DAI) in Singapore varies systematically across the export-intensity distribution: empirically, the joint test on the DAI direct and</w:t>
      </w:r>
      <w:r>
        <w:t xml:space="preserve"> </w:t>
      </w:r>
      <m:oMath>
        <m:r>
          <m:rPr>
            <m:nor/>
            <m:sty m:val="p"/>
          </m:rPr>
          <m:t>DAI</m:t>
        </m:r>
        <m:r>
          <m:rPr>
            <m:sty m:val="p"/>
          </m:rPr>
          <m:t>×</m:t>
        </m:r>
        <m:r>
          <m:rPr>
            <m:nor/>
            <m:sty m:val="p"/>
          </m:rPr>
          <m:t>FSTS</m:t>
        </m:r>
      </m:oMath>
      <w:r>
        <w:t xml:space="preserve"> </w:t>
      </w:r>
      <w:r>
        <w:t xml:space="preserve">interaction terms rejects the null of a uniform DAI–productivity association across the full FSTS range.</w:t>
      </w:r>
    </w:p>
    <w:bookmarkEnd w:id="30"/>
    <w:bookmarkStart w:id="31" w:name="Xb90d981e4efafb918608a9cc7d37012dec59e7b"/>
    <w:p>
      <w:pPr>
        <w:pStyle w:val="Heading4"/>
      </w:pPr>
      <w:r>
        <w:t xml:space="preserve">2.3.4 DAI as a conditional complement to export intensity</w:t>
      </w:r>
    </w:p>
    <w:p>
      <w:pPr>
        <w:pStyle w:val="FirstParagraph"/>
      </w:pP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r>
        <w:t xml:space="preserve"> </w:t>
      </w:r>
      <w:r>
        <w:t xml:space="preserve">Hypothesis 4 (H4). The association between digital adoption (DAI) and firm performance becomes more positive at higher levels of export intensity in Singapore.</w:t>
      </w:r>
    </w:p>
    <w:bookmarkEnd w:id="31"/>
    <w:bookmarkEnd w:id="32"/>
    <w:bookmarkStart w:id="36" w:name="X120be97a373b91b5bab21d44e9895db7ca01e76"/>
    <w:p>
      <w:pPr>
        <w:pStyle w:val="Heading3"/>
      </w:pPr>
      <w:r>
        <w:t xml:space="preserve">2.4 Conceptual model</w:t>
      </w:r>
    </w:p>
    <w:p>
      <w:pPr>
        <w:pStyle w:val="FirstParagraph"/>
      </w:pP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H3 and H4 are jointly informative: H3 concerns the non-uniformity of the DAI–productivity association, whereas H4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p>
      <w:pPr>
        <w:pStyle w:val="BodyText"/>
      </w:pPr>
      <w:r>
        <w:drawing>
          <wp:inline>
            <wp:extent cx="5753100" cy="3868873"/>
            <wp:effectExtent b="0" l="0" r="0" t="0"/>
            <wp:docPr descr="Figure 1: Conceptual model. TCI and DAI moderating the I–P relationship"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753100" cy="3868873"/>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Internationalization (FSTS,</w:t>
      </w:r>
      <w:r>
        <w:t xml:space="preserve"> </w:t>
      </w:r>
      <m:oMath>
        <m:sSup>
          <m:e>
            <m:r>
              <m:rPr>
                <m:sty m:val="p"/>
              </m:rPr>
              <m:t>F</m:t>
            </m:r>
            <m:r>
              <m:rPr>
                <m:sty m:val="p"/>
              </m:rPr>
              <m:t>S</m:t>
            </m:r>
            <m:r>
              <m:rPr>
                <m:sty m:val="p"/>
              </m:rPr>
              <m:t>T</m:t>
            </m:r>
            <m:r>
              <m:rPr>
                <m:sty m:val="p"/>
              </m:rPr>
              <m:t>S</m:t>
            </m:r>
          </m:e>
          <m:sup>
            <m:r>
              <m:t>2</m:t>
            </m:r>
          </m:sup>
        </m:sSup>
      </m:oMath>
      <w:r>
        <w:t xml:space="preserve">) is the independent variable; firm performance, measured as ln(labour productivity), is the dependent variable. Digital adoption (DAI) is the contingency variable on the I–P path (H4); technological capability (TCI) enters mainly as a direct-effect construct (H1), with any moderation by TCI assessed in a supplementary test rather than hypothesized ex ante. The diagram also lists the direct effect of DAI on the dependent variable (H3), which is estimated in the empirical model but not drawn as a crossing arrow for visual clarity. Firm size, age, foreign ownership, and broad-sector fixed effects enter as controls. Solid arrows denote direct associations; dashed arrows denote moderation associations. The setting is Singapore as a within-context, analytically informative case of a digitally advanced economy (WBES 2023, N = 623 / 617).</w:t>
      </w:r>
    </w:p>
    <w:bookmarkEnd w:id="36"/>
    <w:bookmarkEnd w:id="37"/>
    <w:bookmarkStart w:id="45" w:name="X167a2da0345881bf36eef0606d50b1063a572d3"/>
    <w:p>
      <w:pPr>
        <w:pStyle w:val="Heading2"/>
      </w:pPr>
      <w:r>
        <w:t xml:space="preserve">3 Methods</w:t>
      </w:r>
    </w:p>
    <w:bookmarkStart w:id="38" w:name="X7539fb3dc2f98232f41138bc75cab658563f4ee"/>
    <w:p>
      <w:pPr>
        <w:pStyle w:val="Heading3"/>
      </w:pPr>
      <w:r>
        <w:t xml:space="preserve">3.1 Data</w:t>
      </w:r>
    </w:p>
    <w:p>
      <w:pPr>
        <w:pStyle w:val="FirstParagraph"/>
      </w:pPr>
      <w:r>
        <w:t xml:space="preserve">We use the World Bank Enterprise Survey (WBES) Singapore 2023 wave (World Bank, 2024),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 2 e-payment adoption (customer- and supplier-side) is widespread relative to emerging-market contexts. This saturation is consistent with Singapore's advanced institutional context and explains why the Lind–Mehlum test for the inverted-U does not formally reject monotonicity at conventional thresholds (p = .303): when foundational digital adoption is near-uniformly diffused, the right-tail attenuation that drives the curvature mechanism is harder to detect with a 623-firm sample. Figure 3 [see Figures section] illustrates the predicted I–P curve and the sparse upper-tail region where the turning point is implied.</w:t>
      </w:r>
    </w:p>
    <w:bookmarkEnd w:id="38"/>
    <w:bookmarkStart w:id="43" w:name="Xbcf9f12e79107fa2c089aaf13fc6c4fb773f1c2"/>
    <w:p>
      <w:pPr>
        <w:pStyle w:val="Heading3"/>
      </w:pPr>
      <w:r>
        <w:t xml:space="preserve">3.2 Variables</w:t>
      </w:r>
    </w:p>
    <w:bookmarkStart w:id="39" w:name="X7e58563e31c3ad002492190dd8d5308423faaad"/>
    <w:p>
      <w:pPr>
        <w:pStyle w:val="Heading4"/>
      </w:pPr>
      <w:r>
        <w:t xml:space="preserve">3.2.1 Dependent variable</w:t>
      </w:r>
    </w:p>
    <w:p>
      <w:pPr>
        <w:pStyle w:val="FirstParagraph"/>
      </w:pP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firms belong to the same 2023 cross-section, sales are expressed in nominal 2023 Singapore dollars, with any common price-level effect absorbed by the intercept. To reduce sensitivity to outliers, the dependent variable is winsorized at the 1st and 99th percentiles.</w:t>
      </w:r>
    </w:p>
    <w:bookmarkEnd w:id="39"/>
    <w:bookmarkStart w:id="40" w:name="X2cdc78afcfd9a4441a0b7b899a2b559f49a455a"/>
    <w:p>
      <w:pPr>
        <w:pStyle w:val="Heading4"/>
      </w:pPr>
      <w:r>
        <w:t xml:space="preserve">3.2.2 Focal independent variable</w:t>
      </w:r>
    </w:p>
    <w:p>
      <w:pPr>
        <w:pStyle w:val="FirstParagraph"/>
      </w:pPr>
      <w:r>
        <w:t xml:space="preserve">The focal internationalization variable is FSTS, defined as the proportion of annual sales derived from direct exports and rescaled to the [0,1] interval. FSTS is mean-centered before squaring to mitigate multicollinearity between the linear and quadratic terms (Aiken &amp; West 1991). In the final specifications, variance inflation factors remain below 3, indicating that multicollinearity is not a material concern (O’Brien 2007).</w:t>
      </w:r>
    </w:p>
    <w:bookmarkEnd w:id="40"/>
    <w:bookmarkStart w:id="41" w:name="X5885cfa65cddf1d15b27f59176f9dbae5a8c10a"/>
    <w:p>
      <w:pPr>
        <w:pStyle w:val="Heading4"/>
      </w:pPr>
      <w:r>
        <w:t xml:space="preserve">3.2.3 TCI and DAI composites</w:t>
      </w:r>
    </w:p>
    <w:p>
      <w:pPr>
        <w:pStyle w:val="FirstParagraph"/>
      </w:pPr>
      <w:r>
        <w:t xml:space="preserve">Technological capability and digital adoption are modeled as two distinct formative composites rather than reflective scales because their indicators jointly</w:t>
      </w:r>
      <w:r>
        <w:t xml:space="preserve"> </w:t>
      </w:r>
      <w:r>
        <w:rPr>
          <w:iCs/>
          <w:i/>
        </w:rPr>
        <w:t xml:space="preserve">constitute</w:t>
      </w:r>
      <w:r>
        <w:t xml:space="preserve"> </w:t>
      </w:r>
      <w:r>
        <w:t xml:space="preserve">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component indicators are standardized, aggregated using equal weights, and then re-standardized so that coefficients are interpretable in standard-deviation units.</w:t>
      </w:r>
    </w:p>
    <w:p>
      <w:pPr>
        <w:pStyle w:val="BodyText"/>
      </w:pPr>
      <w:r>
        <w:t xml:space="preserve">Table V1 maps each focal variable to its source items in the WBES Singapore 2023 instrument so that the empirical specifications are fully traceable to public microdata.</w:t>
      </w:r>
    </w:p>
    <w:p>
      <w:pPr>
        <w:pStyle w:val="BodyText"/>
      </w:pPr>
      <w:r>
        <w:rPr>
          <w:bCs/>
          <w:b/>
        </w:rPr>
        <w:t xml:space="preserve">Table V1.</w:t>
      </w:r>
      <w:r>
        <w:t xml:space="preserve"> </w:t>
      </w:r>
      <w:r>
        <w:t xml:space="preserve">Variable definitions and WBES item codes.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Operational definition</w:t>
            </w:r>
          </w:p>
        </w:tc>
        <w:tc>
          <w:tcPr/>
          <w:p>
            <w:pPr>
              <w:pStyle w:val="Compact"/>
              <w:jc w:val="left"/>
            </w:pPr>
            <w:r>
              <w:t xml:space="preserve">WBES item(s)</w:t>
            </w:r>
          </w:p>
        </w:tc>
        <w:tc>
          <w:tcPr/>
          <w:p>
            <w:pPr>
              <w:pStyle w:val="Compact"/>
              <w:jc w:val="left"/>
            </w:pPr>
            <w:r>
              <w:t xml:space="preserve">Source / rationale</w:t>
            </w:r>
          </w:p>
        </w:tc>
      </w:tr>
      <w:tr>
        <w:tc>
          <w:tcPr/>
          <w:p>
            <w:pPr>
              <w:pStyle w:val="Compact"/>
              <w:jc w:val="left"/>
            </w:pPr>
            <w:r>
              <w:t xml:space="preserve">ln(LP)</w:t>
            </w:r>
          </w:p>
        </w:tc>
        <w:tc>
          <w:tcPr/>
          <w:p>
            <w:pPr>
              <w:pStyle w:val="Compact"/>
              <w:jc w:val="left"/>
            </w:pPr>
            <w:r>
              <w:t xml:space="preserve">ln(annual sales / full-time permanent employees), winsorised at 1st/99th percentiles</w:t>
            </w:r>
          </w:p>
        </w:tc>
        <w:tc>
          <w:tcPr/>
          <w:p>
            <w:pPr>
              <w:pStyle w:val="Compact"/>
              <w:jc w:val="left"/>
            </w:pPr>
            <w:r>
              <w:t xml:space="preserve">d2 (sales), l1 (employees)</w:t>
            </w:r>
          </w:p>
        </w:tc>
        <w:tc>
          <w:tcPr/>
          <w:p>
            <w:pPr>
              <w:pStyle w:val="Compact"/>
              <w:jc w:val="left"/>
            </w:pPr>
            <w:r>
              <w:t xml:space="preserve">Productivity-as-performance (Hitt et al., 1997; Lu &amp; Beamish, 2004)</w:t>
            </w:r>
          </w:p>
        </w:tc>
      </w:tr>
      <w:tr>
        <w:tc>
          <w:tcPr/>
          <w:p>
            <w:pPr>
              <w:pStyle w:val="Compact"/>
              <w:jc w:val="left"/>
            </w:pPr>
            <w:r>
              <w:t xml:space="preserve">FSTS</w:t>
            </w:r>
          </w:p>
        </w:tc>
        <w:tc>
          <w:tcPr/>
          <w:p>
            <w:pPr>
              <w:pStyle w:val="Compact"/>
              <w:jc w:val="left"/>
            </w:pPr>
            <w:r>
              <w:t xml:space="preserve">Direct-export share of annual sales, rescaled to [0, 1], mean-centred before squaring</w:t>
            </w:r>
          </w:p>
        </w:tc>
        <w:tc>
          <w:tcPr/>
          <w:p>
            <w:pPr>
              <w:pStyle w:val="Compact"/>
              <w:jc w:val="left"/>
            </w:pPr>
            <w:r>
              <w:t xml:space="preserve">d3c</w:t>
            </w:r>
          </w:p>
        </w:tc>
        <w:tc>
          <w:tcPr/>
          <w:p>
            <w:pPr>
              <w:pStyle w:val="Compact"/>
              <w:jc w:val="left"/>
            </w:pPr>
            <w:r>
              <w:t xml:space="preserve">Standard I–P literature operationalisation</w:t>
            </w:r>
          </w:p>
        </w:tc>
      </w:tr>
      <w:tr>
        <w:tc>
          <w:tcPr/>
          <w:p>
            <w:pPr>
              <w:pStyle w:val="Compact"/>
              <w:jc w:val="left"/>
            </w:pPr>
            <w:r>
              <w:t xml:space="preserve">TCI (formative)</w:t>
            </w:r>
          </w:p>
        </w:tc>
        <w:tc>
          <w:tcPr/>
          <w:p>
            <w:pPr>
              <w:pStyle w:val="Compact"/>
              <w:jc w:val="left"/>
            </w:pPr>
            <w:r>
              <w:t xml:space="preserve">Equal-weighted z-aggregate of four binary indicators, re-standardised</w:t>
            </w:r>
          </w:p>
        </w:tc>
        <w:tc>
          <w:tcPr/>
          <w:p>
            <w:pPr>
              <w:pStyle w:val="Compact"/>
              <w:jc w:val="left"/>
            </w:pPr>
            <w:r>
              <w:t xml:space="preserve">b8 (ISO/quality certification), e6 (R&amp;D activity), h1 (foreign-licensed technology), h8 (product innovation)</w:t>
            </w:r>
          </w:p>
        </w:tc>
        <w:tc>
          <w:tcPr/>
          <w:p>
            <w:pPr>
              <w:pStyle w:val="Compact"/>
              <w:jc w:val="left"/>
            </w:pPr>
            <w:r>
              <w:t xml:space="preserve">Lall (1992) absorptive-capacity tradition; Cohen &amp; Levinthal (1990)</w:t>
            </w:r>
          </w:p>
        </w:tc>
      </w:tr>
      <w:tr>
        <w:tc>
          <w:tcPr/>
          <w:p>
            <w:pPr>
              <w:pStyle w:val="Compact"/>
              <w:jc w:val="left"/>
            </w:pPr>
            <w:r>
              <w:t xml:space="preserve">DAI (formative, Tier 1–2)</w:t>
            </w:r>
          </w:p>
        </w:tc>
        <w:tc>
          <w:tcPr/>
          <w:p>
            <w:pPr>
              <w:pStyle w:val="Compact"/>
              <w:jc w:val="left"/>
            </w:pPr>
            <w:r>
              <w:t xml:space="preserve">Equal-weighted z-aggregate of website binary plus normalised electronic-payment intensities, re-standardised</w:t>
            </w:r>
          </w:p>
        </w:tc>
        <w:tc>
          <w:tcPr/>
          <w:p>
            <w:pPr>
              <w:pStyle w:val="Compact"/>
              <w:jc w:val="left"/>
            </w:pPr>
            <w:r>
              <w:t xml:space="preserve">c22b (website, Tier 1); k33 (customer-side e-payment %, Tier 2); k38 (supplier-side e-payment %, Tier 2)</w:t>
            </w:r>
          </w:p>
        </w:tc>
        <w:tc>
          <w:tcPr/>
          <w:p>
            <w:pPr>
              <w:pStyle w:val="Compact"/>
              <w:jc w:val="left"/>
            </w:pPr>
            <w:r>
              <w:t xml:space="preserve">Verhoef et al. (2021) digital-transformation hierarchy; Bharadwaj et al. (2013)</w:t>
            </w:r>
          </w:p>
        </w:tc>
      </w:tr>
      <w:tr>
        <w:tc>
          <w:tcPr/>
          <w:p>
            <w:pPr>
              <w:pStyle w:val="Compact"/>
              <w:jc w:val="left"/>
            </w:pPr>
            <w:r>
              <w:t xml:space="preserve">ln(Emp)</w:t>
            </w:r>
          </w:p>
        </w:tc>
        <w:tc>
          <w:tcPr/>
          <w:p>
            <w:pPr>
              <w:pStyle w:val="Compact"/>
              <w:jc w:val="left"/>
            </w:pPr>
            <w:r>
              <w:t xml:space="preserve">ln(full-time permanent employees)</w:t>
            </w:r>
          </w:p>
        </w:tc>
        <w:tc>
          <w:tcPr/>
          <w:p>
            <w:pPr>
              <w:pStyle w:val="Compact"/>
              <w:jc w:val="left"/>
            </w:pPr>
            <w:r>
              <w:t xml:space="preserve">l1</w:t>
            </w:r>
          </w:p>
        </w:tc>
        <w:tc>
          <w:tcPr/>
          <w:p>
            <w:pPr>
              <w:pStyle w:val="Compact"/>
              <w:jc w:val="left"/>
            </w:pPr>
            <w:r>
              <w:t xml:space="preserve">Standard firm-size control</w:t>
            </w:r>
          </w:p>
        </w:tc>
      </w:tr>
      <w:tr>
        <w:tc>
          <w:tcPr/>
          <w:p>
            <w:pPr>
              <w:pStyle w:val="Compact"/>
              <w:jc w:val="left"/>
            </w:pPr>
            <w:r>
              <w:t xml:space="preserve">FirmAge</w:t>
            </w:r>
          </w:p>
        </w:tc>
        <w:tc>
          <w:tcPr/>
          <w:p>
            <w:pPr>
              <w:pStyle w:val="Compact"/>
              <w:jc w:val="left"/>
            </w:pPr>
            <w:r>
              <w:t xml:space="preserve">survey year − year of establishment</w:t>
            </w:r>
          </w:p>
        </w:tc>
        <w:tc>
          <w:tcPr/>
          <w:p>
            <w:pPr>
              <w:pStyle w:val="Compact"/>
              <w:jc w:val="left"/>
            </w:pPr>
            <w:r>
              <w:t xml:space="preserve">b5</w:t>
            </w:r>
          </w:p>
        </w:tc>
        <w:tc>
          <w:tcPr/>
          <w:p>
            <w:pPr>
              <w:pStyle w:val="Compact"/>
              <w:jc w:val="left"/>
            </w:pPr>
            <w:r>
              <w:t xml:space="preserve">Liability-of-newness / cohort effects</w:t>
            </w:r>
          </w:p>
        </w:tc>
      </w:tr>
      <w:tr>
        <w:tc>
          <w:tcPr/>
          <w:p>
            <w:pPr>
              <w:pStyle w:val="Compact"/>
              <w:jc w:val="left"/>
            </w:pPr>
            <w:r>
              <w:t xml:space="preserve">ForeignOwned</w:t>
            </w:r>
          </w:p>
        </w:tc>
        <w:tc>
          <w:tcPr/>
          <w:p>
            <w:pPr>
              <w:pStyle w:val="Compact"/>
              <w:jc w:val="left"/>
            </w:pPr>
            <w:r>
              <w:t xml:space="preserve">Indicator: 1 if foreign ownership share ≥ 10 %</w:t>
            </w:r>
          </w:p>
        </w:tc>
        <w:tc>
          <w:tcPr/>
          <w:p>
            <w:pPr>
              <w:pStyle w:val="Compact"/>
              <w:jc w:val="left"/>
            </w:pPr>
            <w:r>
              <w:t xml:space="preserve">b2b</w:t>
            </w:r>
          </w:p>
        </w:tc>
        <w:tc>
          <w:tcPr/>
          <w:p>
            <w:pPr>
              <w:pStyle w:val="Compact"/>
              <w:jc w:val="left"/>
            </w:pPr>
            <w:r>
              <w:t xml:space="preserve">UNCTAD/IMF FDI cutoff convention</w:t>
            </w:r>
          </w:p>
        </w:tc>
      </w:tr>
      <w:tr>
        <w:tc>
          <w:tcPr/>
          <w:p>
            <w:pPr>
              <w:pStyle w:val="Compact"/>
              <w:jc w:val="left"/>
            </w:pPr>
            <w:r>
              <w:t xml:space="preserve">Sector FE</w:t>
            </w:r>
          </w:p>
        </w:tc>
        <w:tc>
          <w:tcPr/>
          <w:p>
            <w:pPr>
              <w:pStyle w:val="Compact"/>
              <w:jc w:val="left"/>
            </w:pPr>
            <w:r>
              <w:t xml:space="preserve">Manufacturing / Retail / Other services / Other</w:t>
            </w:r>
          </w:p>
        </w:tc>
        <w:tc>
          <w:tcPr/>
          <w:p>
            <w:pPr>
              <w:pStyle w:val="Compact"/>
              <w:jc w:val="left"/>
            </w:pPr>
            <w:r>
              <w:t xml:space="preserve">a4b (one-digit ISIC)</w:t>
            </w:r>
          </w:p>
        </w:tc>
        <w:tc>
          <w:tcPr/>
          <w:p>
            <w:pPr>
              <w:pStyle w:val="Compact"/>
              <w:jc w:val="left"/>
            </w:pPr>
            <w:r>
              <w:t xml:space="preserve">Absorbs sector heterogeneity in productivity, export propensity, and digital-adoption norms</w:t>
            </w:r>
          </w:p>
        </w:tc>
      </w:tr>
    </w:tbl>
    <w:p>
      <w:pPr>
        <w:pStyle w:val="BodyText"/>
      </w:pPr>
      <w:r>
        <w:t xml:space="preserve">Listwise deletion on the focal-variable set yields N = 623 for specifications without DAI and N = 617 for DAI-inclusive specifications (six firms have missing values on at least one of c22b, k33, k38).</w:t>
      </w:r>
    </w:p>
    <w:p>
      <w:pPr>
        <w:pStyle w:val="BodyText"/>
      </w:pPr>
      <w:r>
        <w:rPr>
          <w:bCs/>
          <w:b/>
        </w:rPr>
        <w:t xml:space="preserve">Formative vs. reflective measurement diagnostic (Coltman et al., 2008).</w:t>
      </w:r>
      <w:r>
        <w:t xml:space="preserve"> </w:t>
      </w:r>
      <w:r>
        <w:t xml:space="preserve">The Coltman, Devinney, Midgley, and Venaik (2008) four-criterion test motivates the formative specification for both composites:</w:t>
      </w:r>
    </w:p>
    <w:p>
      <w:pPr>
        <w:numPr>
          <w:ilvl w:val="0"/>
          <w:numId w:val="1001"/>
        </w:numPr>
        <w:pStyle w:val="Compact"/>
      </w:pPr>
      <w:r>
        <w:rPr>
          <w:iCs/>
          <w:i/>
        </w:rPr>
        <w:t xml:space="preserve">Direction of causality.</w:t>
      </w:r>
      <w:r>
        <w:t xml:space="preserve"> </w:t>
      </w:r>
      <w:r>
        <w:t xml:space="preserve">Each indicator (e.g. obtaining ISO certification, deploying a website) is a constitutive choice that</w:t>
      </w:r>
      <w:r>
        <w:t xml:space="preserve"> </w:t>
      </w:r>
      <w:r>
        <w:rPr>
          <w:iCs/>
          <w:i/>
        </w:rPr>
        <w:t xml:space="preserve">defines</w:t>
      </w:r>
      <w:r>
        <w:t xml:space="preserve"> </w:t>
      </w:r>
      <w:r>
        <w:t xml:space="preserve">the construct rather than a manifestation caused by an underlying latent capability. Dropping any indicator would change the meaning of TCI or DAI rather than just shift its measurement error.</w:t>
      </w:r>
    </w:p>
    <w:p>
      <w:pPr>
        <w:numPr>
          <w:ilvl w:val="0"/>
          <w:numId w:val="1001"/>
        </w:numPr>
        <w:pStyle w:val="Compact"/>
      </w:pPr>
      <w:r>
        <w:rPr>
          <w:iCs/>
          <w:i/>
        </w:rPr>
        <w:t xml:space="preserve">Interchangeability.</w:t>
      </w:r>
      <w:r>
        <w:t xml:space="preserve"> </w:t>
      </w:r>
      <w:r>
        <w:t xml:space="preserve">The component indicators are not interchangeable: ISO certification and R&amp;D effort, or website presence and e-payment penetration, capture distinct content domains that need not co-vary. The item-swap falsification test in Section 4.5 (R2 + indicator reassignment) confirms that swapping c22b from DAI into TCI breaks the canonical moderation result (joint F drops from 4.56 to 1.88).</w:t>
      </w:r>
    </w:p>
    <w:p>
      <w:pPr>
        <w:numPr>
          <w:ilvl w:val="0"/>
          <w:numId w:val="1001"/>
        </w:numPr>
        <w:pStyle w:val="Compact"/>
      </w:pPr>
      <w:r>
        <w:rPr>
          <w:iCs/>
          <w:i/>
        </w:rPr>
        <w:t xml:space="preserve">Covariation among indicators.</w:t>
      </w:r>
      <w:r>
        <w:t xml:space="preserve"> </w:t>
      </w:r>
      <w:r>
        <w:t xml:space="preserve">Inter-item correlations within TCI (mean r = .18) and within DAI (mean r = .21) are positive but modest, consistent with a formative model where indicators contribute partially independent information rather than redundantly indexing one latent factor.</w:t>
      </w:r>
    </w:p>
    <w:p>
      <w:pPr>
        <w:numPr>
          <w:ilvl w:val="0"/>
          <w:numId w:val="1001"/>
        </w:numPr>
        <w:pStyle w:val="Compact"/>
      </w:pPr>
      <w:r>
        <w:rPr>
          <w:iCs/>
          <w:i/>
        </w:rPr>
        <w:t xml:space="preserve">Antecedents and consequences.</w:t>
      </w:r>
      <w:r>
        <w:t xml:space="preserve"> </w:t>
      </w:r>
      <w:r>
        <w:t xml:space="preserve">Each indicator has distinct antecedents (e.g. R&amp;D effort responds to industry technological intensity, while ISO certification responds to export-market regulatory exposure) and contributes independently to the nomological consequences hypothesised in Section 2. This rules out the reflective alternative in which all indicators should share antecedents.</w:t>
      </w:r>
    </w:p>
    <w:p>
      <w:pPr>
        <w:pStyle w:val="FirstParagraph"/>
      </w:pPr>
      <w:r>
        <w:t xml:space="preserve">Together these four criteria reject a reflective measurement model for both TCI and DAI; the formative composites are therefore the appropriate operationalisation.</w:t>
      </w:r>
    </w:p>
    <w:bookmarkEnd w:id="41"/>
    <w:bookmarkStart w:id="42" w:name="X7f318314f3a5164dbb5d2e2bfe8bd11c34b488e"/>
    <w:p>
      <w:pPr>
        <w:pStyle w:val="Heading4"/>
      </w:pPr>
      <w:r>
        <w:t xml:space="preserve">3.2.4 Controls</w:t>
      </w:r>
    </w:p>
    <w:p>
      <w:pPr>
        <w:pStyle w:val="FirstParagraph"/>
      </w:pP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p>
    <w:bookmarkEnd w:id="42"/>
    <w:bookmarkEnd w:id="43"/>
    <w:bookmarkStart w:id="44" w:name="X84482d10811f20e2a246857c008316fafc15eb6"/>
    <w:p>
      <w:pPr>
        <w:pStyle w:val="Heading3"/>
      </w:pPr>
      <w:r>
        <w:t xml:space="preserve">3.3 Estimation strategy and identification scope</w:t>
      </w:r>
    </w:p>
    <w:p>
      <w:pPr>
        <w:pStyle w:val="FirstParagraph"/>
      </w:pPr>
      <w:r>
        <w:t xml:space="preserve">The empirical analysis uses ordinary least squares with broad sector fixed effects and HC1 heteroskedasticity-robust standard errors throughout (MacKinnon &amp; White, 1985). Models are estimated sequentially, beginning with a controls-only specification and then moving to a linear internationalization model, a quadratic full-sample benchmark, direct-effect models for TCI and DAI, and full specifications that incorporate moderation terms.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 Accordingly, the analysis does not treat the full-sample polynomial as sufficient evidence of a formally identified inverted-U in the observed data range.</w:t>
      </w:r>
      <w:r>
        <w:t xml:space="preserve"> </w:t>
      </w:r>
      <w:r>
        <w:t xml:space="preserve">The full empirical specification (Model M8) is</w:t>
      </w:r>
    </w:p>
    <w:p>
      <w:pPr>
        <w:pStyle w:val="BodyText"/>
      </w:pPr>
      <m:oMathPara>
        <m:oMathParaPr>
          <m:jc m:val="center"/>
        </m:oMathParaPr>
        <m:oMath>
          <m:r>
            <m:rPr>
              <m:sty m:val="p"/>
            </m:rPr>
            <m:t>ln</m:t>
          </m:r>
          <m:d>
            <m:dPr>
              <m:begChr m:val="("/>
              <m:endChr m:val=")"/>
              <m:sepChr m:val=""/>
              <m:grow/>
            </m:dPr>
            <m:e>
              <m:sSub>
                <m:e>
                  <m:r>
                    <m:rPr>
                      <m:sty m:val="p"/>
                    </m:rPr>
                    <m:t>L</m:t>
                  </m:r>
                  <m:r>
                    <m:rPr>
                      <m:sty m:val="p"/>
                    </m:rPr>
                    <m:t>P</m:t>
                  </m:r>
                </m:e>
                <m:sub>
                  <m:r>
                    <m:t>i</m:t>
                  </m:r>
                </m:sub>
              </m:sSub>
            </m:e>
          </m:d>
          <m:r>
            <m:rPr>
              <m:sty m:val="p"/>
            </m:rPr>
            <m:t>=</m:t>
          </m:r>
          <m:r>
            <m:t>α</m:t>
          </m:r>
          <m:r>
            <m:rPr>
              <m:sty m:val="p"/>
            </m:rPr>
            <m:t>+</m:t>
          </m:r>
          <m:sSub>
            <m:e>
              <m:r>
                <m:t>β</m:t>
              </m:r>
            </m:e>
            <m:sub>
              <m:r>
                <m:t>1</m:t>
              </m:r>
            </m:sub>
          </m:sSub>
          <m:r>
            <m:t> </m:t>
          </m:r>
          <m:sSubSup>
            <m:e>
              <m:r>
                <m:rPr>
                  <m:sty m:val="p"/>
                </m:rPr>
                <m:t>F</m:t>
              </m:r>
              <m:r>
                <m:rPr>
                  <m:sty m:val="p"/>
                </m:rPr>
                <m:t>S</m:t>
              </m:r>
              <m:r>
                <m:rPr>
                  <m:sty m:val="p"/>
                </m:rPr>
                <m:t>T</m:t>
              </m:r>
              <m:r>
                <m:rPr>
                  <m:sty m:val="p"/>
                </m:rPr>
                <m:t>S</m:t>
              </m:r>
            </m:e>
            <m:sub>
              <m:r>
                <m:t>i</m:t>
              </m:r>
            </m:sub>
            <m:sup>
              <m:r>
                <m:t>c</m:t>
              </m:r>
            </m:sup>
          </m:sSubSup>
          <m:r>
            <m:rPr>
              <m:sty m:val="p"/>
            </m:rPr>
            <m:t>+</m:t>
          </m:r>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t>β</m:t>
              </m:r>
            </m:e>
            <m:sub>
              <m:r>
                <m:t>3</m:t>
              </m:r>
            </m:sub>
          </m:sSub>
          <m:r>
            <m:t> </m:t>
          </m:r>
          <m:sSub>
            <m:e>
              <m:r>
                <m:rPr>
                  <m:sty m:val="p"/>
                </m:rPr>
                <m:t>T</m:t>
              </m:r>
              <m:r>
                <m:rPr>
                  <m:sty m:val="p"/>
                </m:rPr>
                <m:t>C</m:t>
              </m:r>
              <m:r>
                <m:rPr>
                  <m:sty m:val="p"/>
                </m:rPr>
                <m:t>I</m:t>
              </m:r>
            </m:e>
            <m:sub>
              <m:r>
                <m:t>i</m:t>
              </m:r>
            </m:sub>
          </m:sSub>
          <m:r>
            <m:rPr>
              <m:sty m:val="p"/>
            </m:rPr>
            <m:t>+</m:t>
          </m:r>
          <m:sSub>
            <m:e>
              <m:r>
                <m:t>β</m:t>
              </m:r>
            </m:e>
            <m:sub>
              <m:r>
                <m:t>4</m:t>
              </m:r>
            </m:sub>
          </m:sSub>
          <m:r>
            <m:t> </m:t>
          </m:r>
          <m:sSub>
            <m:e>
              <m:r>
                <m:rPr>
                  <m:sty m:val="p"/>
                </m:rPr>
                <m:t>D</m:t>
              </m:r>
              <m:r>
                <m:rPr>
                  <m:sty m:val="p"/>
                </m:rPr>
                <m:t>A</m:t>
              </m:r>
              <m:r>
                <m:rPr>
                  <m:sty m:val="p"/>
                </m:rPr>
                <m:t>I</m:t>
              </m:r>
            </m:e>
            <m:sub>
              <m:r>
                <m:t>i</m:t>
              </m:r>
            </m:sub>
          </m:sSub>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c</m:t>
                  </m:r>
                </m:sup>
              </m:sSubSup>
              <m:r>
                <m:rPr>
                  <m:sty m:val="p"/>
                </m:rPr>
                <m:t>×</m:t>
              </m:r>
              <m:sSub>
                <m:e>
                  <m:r>
                    <m:rPr>
                      <m:sty m:val="p"/>
                    </m:rPr>
                    <m:t>D</m:t>
                  </m:r>
                  <m:r>
                    <m:rPr>
                      <m:sty m:val="p"/>
                    </m:rPr>
                    <m:t>A</m:t>
                  </m:r>
                  <m:r>
                    <m:rPr>
                      <m:sty m:val="p"/>
                    </m:rPr>
                    <m:t>I</m:t>
                  </m:r>
                </m:e>
                <m:sub>
                  <m:r>
                    <m:t>i</m:t>
                  </m:r>
                </m:sub>
              </m:sSub>
            </m:e>
          </m:d>
          <m:r>
            <m:rPr>
              <m:sty m:val="p"/>
            </m:rPr>
            <m:t>+</m:t>
          </m:r>
          <m:sSub>
            <m:e>
              <m:r>
                <m:t>β</m:t>
              </m:r>
            </m:e>
            <m:sub>
              <m:r>
                <m:t>6</m:t>
              </m:r>
            </m:sub>
          </m:sSub>
          <m:r>
            <m:t> </m:t>
          </m:r>
          <m:d>
            <m:dPr>
              <m:begChr m:val="("/>
              <m:endChr m:val=")"/>
              <m:sepChr m:val=""/>
              <m:grow/>
            </m:dPr>
            <m:e>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rPr>
                      <m:sty m:val="p"/>
                    </m:rPr>
                    <m:t>D</m:t>
                  </m:r>
                  <m:r>
                    <m:rPr>
                      <m:sty m:val="p"/>
                    </m:rPr>
                    <m:t>A</m:t>
                  </m:r>
                  <m:r>
                    <m:rPr>
                      <m:sty m:val="p"/>
                    </m:rPr>
                    <m:t>I</m:t>
                  </m:r>
                </m:e>
                <m:sub>
                  <m:r>
                    <m:t>i</m:t>
                  </m:r>
                </m:sub>
              </m:sSub>
            </m:e>
          </m:d>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oMath>
      </m:oMathPara>
    </w:p>
    <w:p>
      <w:pPr>
        <w:pStyle w:val="FirstParagraph"/>
      </w:pPr>
      <w:r>
        <w:t xml:space="preserve">where</w:t>
      </w:r>
      <w:r>
        <w:t xml:space="preserve"> </w:t>
      </w:r>
      <m:oMath>
        <m:sSubSup>
          <m:e>
            <m:r>
              <m:rPr>
                <m:sty m:val="p"/>
              </m:rPr>
              <m:t>F</m:t>
            </m:r>
            <m:r>
              <m:rPr>
                <m:sty m:val="p"/>
              </m:rPr>
              <m:t>S</m:t>
            </m:r>
            <m:r>
              <m:rPr>
                <m:sty m:val="p"/>
              </m:rPr>
              <m:t>T</m:t>
            </m:r>
            <m:r>
              <m:rPr>
                <m:sty m:val="p"/>
              </m:rPr>
              <m:t>S</m:t>
            </m:r>
          </m:e>
          <m:sub>
            <m:r>
              <m:t>i</m:t>
            </m:r>
          </m:sub>
          <m:sup>
            <m:r>
              <m:t>c</m:t>
            </m:r>
          </m:sup>
        </m:sSubSup>
        <m:r>
          <m:rPr>
            <m:sty m:val="p"/>
          </m:rPr>
          <m:t>=</m:t>
        </m:r>
        <m:sSub>
          <m:e>
            <m:r>
              <m:rPr>
                <m:sty m:val="p"/>
              </m:rPr>
              <m:t>F</m:t>
            </m:r>
            <m:r>
              <m:rPr>
                <m:sty m:val="p"/>
              </m:rPr>
              <m:t>S</m:t>
            </m:r>
            <m:r>
              <m:rPr>
                <m:sty m:val="p"/>
              </m:rPr>
              <m:t>T</m:t>
            </m:r>
            <m:r>
              <m:rPr>
                <m:sty m:val="p"/>
              </m:rPr>
              <m:t>S</m:t>
            </m:r>
          </m:e>
          <m:sub>
            <m:r>
              <m:t>i</m:t>
            </m:r>
          </m:sub>
        </m:sSub>
        <m:r>
          <m:rPr>
            <m:sty m:val="p"/>
          </m:rPr>
          <m:t>−</m:t>
        </m:r>
        <m:bar>
          <m:barPr>
            <m:pos m:val="top"/>
          </m:barPr>
          <m:e>
            <m:r>
              <m:rPr>
                <m:sty m:val="p"/>
              </m:rPr>
              <m:t>F</m:t>
            </m:r>
            <m:r>
              <m:rPr>
                <m:sty m:val="p"/>
              </m:rPr>
              <m:t>S</m:t>
            </m:r>
            <m:r>
              <m:rPr>
                <m:sty m:val="p"/>
              </m:rPr>
              <m:t>T</m:t>
            </m:r>
            <m:r>
              <m:rPr>
                <m:sty m:val="p"/>
              </m:rPr>
              <m:t>S</m:t>
            </m:r>
          </m:e>
        </m:bar>
      </m:oMath>
      <w:r>
        <w:t xml:space="preserve"> </w:t>
      </w:r>
      <w:r>
        <w:t xml:space="preserve">is mean-centred export intensity,</w:t>
      </w:r>
      <w:r>
        <w:t xml:space="preserve"> </w:t>
      </w:r>
      <m:oMath>
        <m:sSub>
          <m:e>
            <m:r>
              <m:rPr>
                <m:sty m:val="b"/>
              </m:rPr>
              <m:t>x</m:t>
            </m:r>
          </m:e>
          <m:sub>
            <m:r>
              <m:t>i</m:t>
            </m:r>
          </m:sub>
        </m:sSub>
      </m:oMath>
      <w:r>
        <w:t xml:space="preserve"> </w:t>
      </w:r>
      <w:r>
        <w:t xml:space="preserve">collects firm-level controls (log permanent employees, firm age, foreign-ownership indicator, broad-sector fixed effects), and standard errors are computed with the HC1 estimator (MacKinnon &amp; White, 1985). The implied turning point of the inverted-U component is</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bar>
          <m:barPr>
            <m:pos m:val="top"/>
          </m:barPr>
          <m:e>
            <m:r>
              <m:rPr>
                <m:sty m:val="p"/>
              </m:rPr>
              <m:t>F</m:t>
            </m:r>
            <m:r>
              <m:rPr>
                <m:sty m:val="p"/>
              </m:rPr>
              <m:t>S</m:t>
            </m:r>
            <m:r>
              <m:rPr>
                <m:sty m:val="p"/>
              </m:rPr>
              <m:t>T</m:t>
            </m:r>
            <m:r>
              <m:rPr>
                <m:sty m:val="p"/>
              </m:rPr>
              <m:t>S</m:t>
            </m:r>
          </m:e>
        </m:bar>
      </m:oMath>
      <w:r>
        <w:t xml:space="preserve"> </w:t>
      </w:r>
      <w:r>
        <w:t xml:space="preserve">when</w:t>
      </w:r>
      <w:r>
        <w:t xml:space="preserve"> </w:t>
      </w:r>
      <m:oMath>
        <m:sSub>
          <m:e>
            <m:acc>
              <m:accPr>
                <m:chr m:val="̂"/>
              </m:accPr>
              <m:e>
                <m:r>
                  <m:t>β</m:t>
                </m:r>
              </m:e>
            </m:acc>
          </m:e>
          <m:sub>
            <m:r>
              <m:t>2</m:t>
            </m:r>
          </m:sub>
        </m:sSub>
        <m:r>
          <m:rPr>
            <m:sty m:val="p"/>
          </m:rPr>
          <m:t>&lt;</m:t>
        </m:r>
        <m:r>
          <m:t>0</m:t>
        </m:r>
      </m:oMath>
      <w:r>
        <w:t xml:space="preserve">. A supplementary specification replaces the DAI interaction block with analogous TCI interaction terms to assess whether any TCI moderation is empirically detectable beyond its more stable direct association with productivity.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w:t>
      </w:r>
      <w:r>
        <w:t xml:space="preserve"> </w:t>
      </w:r>
      <m:oMath>
        <m:sSup>
          <m:e>
            <m:r>
              <m:t>f</m:t>
            </m:r>
          </m:e>
          <m:sup>
            <m:r>
              <m:t>2</m:t>
            </m:r>
          </m:sup>
        </m:sSup>
      </m:oMath>
      <w:r>
        <w:t xml:space="preserve"> </w:t>
      </w:r>
      <w:r>
        <w:t xml:space="preserve">(Aguinis et al., 2005; Cohen, 1988). All estimations are performed in Stata 18 with the</w:t>
      </w:r>
      <w:r>
        <w:t xml:space="preserve"> </w:t>
      </w:r>
      <w:r>
        <w:rPr>
          <w:rStyle w:val="VerbatimChar"/>
        </w:rPr>
        <w:t xml:space="preserve">utest</w:t>
      </w:r>
      <w:r>
        <w:t xml:space="preserve"> </w:t>
      </w:r>
      <w:r>
        <w:t xml:space="preserve">package (Lind &amp; Mehlum, 2010) for the inverted-U test; the 5,000-replication bootstrap for the turning-point confidence interval uses a fixed seed (12345) to ensure replicability.</w:t>
      </w:r>
    </w:p>
    <w:bookmarkEnd w:id="44"/>
    <w:bookmarkEnd w:id="45"/>
    <w:bookmarkStart w:id="57" w:name="X121719332867ee227f0a04b486098cee978c6e6"/>
    <w:p>
      <w:pPr>
        <w:pStyle w:val="Heading2"/>
      </w:pPr>
      <w:r>
        <w:t xml:space="preserve">4 Results</w:t>
      </w:r>
    </w:p>
    <w:bookmarkStart w:id="46" w:name="Xcfcbc1028680fbd618b9b585dd17cf608861803"/>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m:oMath>
              <m:sSup>
                <m:e>
                  <m:r>
                    <m:rPr>
                      <m:sty m:val="p"/>
                    </m:rPr>
                    <m:t>F</m:t>
                  </m:r>
                  <m:r>
                    <m:rPr>
                      <m:sty m:val="p"/>
                    </m:rPr>
                    <m:t>S</m:t>
                  </m:r>
                  <m:r>
                    <m:rPr>
                      <m:sty m:val="p"/>
                    </m:rPr>
                    <m:t>T</m:t>
                  </m:r>
                  <m:r>
                    <m:rPr>
                      <m:sty m:val="p"/>
                    </m:rPr>
                    <m:t>S</m:t>
                  </m:r>
                </m:e>
                <m:sup>
                  <m:r>
                    <m:t>2</m:t>
                  </m:r>
                </m:sup>
              </m:sSup>
            </m:oMath>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 .10, p &lt; .05, p &lt; .01.</w:t>
      </w:r>
    </w:p>
    <w:bookmarkEnd w:id="46"/>
    <w:bookmarkStart w:id="47" w:name="Xe86cbbe4620ce5d84f78b7737e30408048ed6af"/>
    <w:p>
      <w:pPr>
        <w:pStyle w:val="Heading3"/>
      </w:pPr>
      <w:r>
        <w:t xml:space="preserve">4.2 The I–P relationship: primarily monotonic with mild curvature</w:t>
      </w:r>
    </w:p>
    <w:p>
      <w:pPr>
        <w:pStyle w:val="FirstParagraph"/>
      </w:pPr>
      <w:r>
        <w:t xml:space="preserve">In the baseline quadratic specification (Model M2), the linear FSTS term is positive and statistically significant, whereas the squared term is negative (p = .056, approaching conventional significance thresholds).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 .303). This null is itself an informative positive result: Singapore's DAI distribution is concentrated at the high end, approximately 67% of firms report website presence and Tier 2 e-payment adoption is widespread,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H4 rather than constituting a failure of the inverted-U framework.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47"/>
    <w:bookmarkStart w:id="48" w:name="Xbd081e7d38ad07e1e46d233e5fbc3c3c47a4f64"/>
    <w:p>
      <w:pPr>
        <w:pStyle w:val="Heading3"/>
      </w:pPr>
      <w:r>
        <w:t xml:space="preserve">4.3 TCI results</w:t>
      </w:r>
    </w:p>
    <w:p>
      <w:pPr>
        <w:pStyle w:val="FirstParagraph"/>
      </w:pPr>
      <w:r>
        <w:t xml:space="preserve">The direct-effect model for technological capability (Model M5) shows that TCI is positively associated with labour productivity (</w:t>
      </w:r>
      <m:oMath>
        <m:r>
          <m:t>β</m:t>
        </m:r>
      </m:oMath>
      <w:r>
        <w:t xml:space="preserve"> </w:t>
      </w:r>
      <w:r>
        <w:t xml:space="preserve">= 0.168, SE = 0.040, p &lt; .001). Model fit also improves relative to the quadratic baseline, with</w:t>
      </w:r>
      <w:r>
        <w:t xml:space="preserve"> </w:t>
      </w:r>
      <m:oMath>
        <m:sSup>
          <m:e>
            <m:r>
              <m:t>R</m:t>
            </m:r>
          </m:e>
          <m:sup>
            <m:r>
              <m:t>2</m:t>
            </m:r>
          </m:sup>
        </m:sSup>
      </m:oMath>
      <w:r>
        <w:t xml:space="preserve"> </w:t>
      </w:r>
      <w:r>
        <w:t xml:space="preserve">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M3), the direct TCI coefficient remains positive and significant (</w:t>
      </w:r>
      <m:oMath>
        <m:r>
          <m:t>β</m:t>
        </m:r>
      </m:oMath>
      <w:r>
        <w:t xml:space="preserve"> </w:t>
      </w:r>
      <w:r>
        <w:t xml:space="preserve">=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p>
    <w:bookmarkEnd w:id="48"/>
    <w:bookmarkStart w:id="55" w:name="X0bc604979a3b7f5f87ce430a2a9c0e71ddd76f9"/>
    <w:p>
      <w:pPr>
        <w:pStyle w:val="Heading3"/>
      </w:pPr>
      <w:r>
        <w:t xml:space="preserve">4.4 DAI results</w:t>
      </w:r>
    </w:p>
    <w:p>
      <w:pPr>
        <w:pStyle w:val="FirstParagraph"/>
      </w:pPr>
      <w:r>
        <w:t xml:space="preserve">In the direct-effect model for digital adoption (Model M6), DAI is positively associated with labour productivity (</w:t>
      </w:r>
      <m:oMath>
        <m:r>
          <m:t>β</m:t>
        </m:r>
      </m:oMath>
      <w:r>
        <w:t xml:space="preserve"> </w:t>
      </w:r>
      <w:r>
        <w:t xml:space="preserve">= 0.104, SE = 0.038, p = .007). However, once TCI is included alongside DAI in Model M7, the DAI coefficient attenuates to</w:t>
      </w:r>
      <w:r>
        <w:t xml:space="preserve"> </w:t>
      </w:r>
      <m:oMath>
        <m:r>
          <m:t>β</m:t>
        </m:r>
      </m:oMath>
      <w:r>
        <w:t xml:space="preserve"> </w:t>
      </w:r>
      <w:r>
        <w:t xml:space="preserve">= 0.077 and remains marginal (p = .048), indicating partial overlap in the average-firm heterogeneity captured by the two constructs. This attenuation is substantively important because it suggests that DAI should not be interpreted as a large, universal productivity premium across all firms.</w:t>
      </w:r>
      <w:r>
        <w:t xml:space="preserve"> </w:t>
      </w:r>
      <w:r>
        <w:t xml:space="preserve">Table 2. Hierarchical OLS regression results. Singapore 2023.</w:t>
      </w:r>
      <w:r>
        <w:t xml:space="preserve"> </w:t>
      </w:r>
      <w:r>
        <w:t xml:space="preserve">DV: Ln(Labour Productivity). HC1 robust standard errors in parentheses.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-1.177†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w:r>
              <w:t xml:space="preserve">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shows a strongly positive linear FSTS term and a marginally negative squared term, indicating that the internationalization–performance relationship is better read as predominantly monotonic positive with mild quadratic curvature rather than as a formally established inverted-U. The direct-effect models further show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shows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w:t>
      </w:r>
      <m:oMath>
        <m:r>
          <m:t>β</m:t>
        </m:r>
      </m:oMath>
      <w:r>
        <w:t xml:space="preserve"> </w:t>
      </w:r>
      <w:r>
        <w:t xml:space="preserve">= 0.019, p = .705), the linear interaction with FSTS is negative and marginal (</w:t>
      </w:r>
      <m:oMath>
        <m:r>
          <m:t>β</m:t>
        </m:r>
      </m:oMath>
      <w:r>
        <w:t xml:space="preserve"> </w:t>
      </w:r>
      <w:r>
        <w:t xml:space="preserve">= −1.177, p = .083), and the quadratic interaction term is positive and statistically significant (</w:t>
      </w:r>
      <m:oMath>
        <m:r>
          <m:t>β</m:t>
        </m:r>
      </m:oMath>
      <w:r>
        <w:t xml:space="preserve"> </w:t>
      </w:r>
      <w:r>
        <w:t xml:space="preserve">= 3.119, SE = 1.124, p = .005). Model M8 also produces the highest explanatory power among the main specifications, with</w:t>
      </w:r>
      <w:r>
        <w:t xml:space="preserve"> </w:t>
      </w:r>
      <m:oMath>
        <m:sSup>
          <m:e>
            <m:r>
              <m:t>R</m:t>
            </m:r>
          </m:e>
          <m:sup>
            <m:r>
              <m:t>2</m:t>
            </m:r>
          </m:sup>
        </m:sSup>
      </m:oMath>
      <w:r>
        <w:t xml:space="preserve"> </w:t>
      </w:r>
      <w:r>
        <w:t xml:space="preserve">= 0.211 and adjusted</w:t>
      </w:r>
      <w:r>
        <w:t xml:space="preserve"> </w:t>
      </w:r>
      <m:oMath>
        <m:sSup>
          <m:e>
            <m:r>
              <m:t>R</m:t>
            </m:r>
          </m:e>
          <m:sup>
            <m:r>
              <m:t>2</m:t>
            </m:r>
          </m:sup>
        </m:sSup>
      </m:oMath>
      <w:r>
        <w:t xml:space="preserve"> </w:t>
      </w:r>
      <w:r>
        <w:t xml:space="preserve">=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3.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3.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3 and Figure 2 translate the interaction estimates from Model M8 into substantively interpretable marginal effects across the export-intensity distribution. At FSTS = 0, the marginal effect of DAI is small but positive (+0.080, p =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3).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drawing>
          <wp:inline>
            <wp:extent cx="5753100" cy="3665854"/>
            <wp:effectExtent b="0" l="0" r="0" t="0"/>
            <wp:docPr descr="Figure 2: Marginal effects of DAI on log labour productivity at varying FSTS levels (Singapore, N=617)" title="" id="50" name="Picture"/>
            <a:graphic>
              <a:graphicData uri="http://schemas.openxmlformats.org/drawingml/2006/picture">
                <pic:pic>
                  <pic:nvPicPr>
                    <pic:cNvPr descr="figures/p4_singapore/figure_2_dai_marginal_effect.png" id="51" name="Picture"/>
                    <pic:cNvPicPr>
                      <a:picLocks noChangeArrowheads="1" noChangeAspect="1"/>
                    </pic:cNvPicPr>
                  </pic:nvPicPr>
                  <pic:blipFill>
                    <a:blip r:embed="rId49"/>
                    <a:stretch>
                      <a:fillRect/>
                    </a:stretch>
                  </pic:blipFill>
                  <pic:spPr bwMode="auto">
                    <a:xfrm>
                      <a:off x="0" y="0"/>
                      <a:ext cx="5753100" cy="3665854"/>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drawing>
          <wp:inline>
            <wp:extent cx="5753100" cy="3665854"/>
            <wp:effectExtent b="0" l="0" r="0" t="0"/>
            <wp:docPr descr="Figure 3: Predicted I–P curve with bootstrap confidence band (Singapore, OLS M2)" title="" id="53" name="Picture"/>
            <a:graphic>
              <a:graphicData uri="http://schemas.openxmlformats.org/drawingml/2006/picture">
                <pic:pic>
                  <pic:nvPicPr>
                    <pic:cNvPr descr="figures/p4_singapore/figure_3_predicted_ip_curve.png" id="54" name="Picture"/>
                    <pic:cNvPicPr>
                      <a:picLocks noChangeArrowheads="1" noChangeAspect="1"/>
                    </pic:cNvPicPr>
                  </pic:nvPicPr>
                  <pic:blipFill>
                    <a:blip r:embed="rId52"/>
                    <a:stretch>
                      <a:fillRect/>
                    </a:stretch>
                  </pic:blipFill>
                  <pic:spPr bwMode="auto">
                    <a:xfrm>
                      <a:off x="0" y="0"/>
                      <a:ext cx="5753100" cy="3665854"/>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82% on the original scale (−</w:t>
      </w:r>
      <m:oMath>
        <m:sSub>
          <m:e>
            <m:r>
              <m:t>β</m:t>
            </m:r>
          </m:e>
          <m:sub>
            <m:r>
              <m:t>1</m:t>
            </m:r>
          </m:sub>
        </m:sSub>
      </m:oMath>
      <w:r>
        <w:t xml:space="preserve">/2</w:t>
      </w:r>
      <m:oMath>
        <m:sSub>
          <m:e>
            <m:r>
              <m:t>β</m:t>
            </m:r>
          </m:e>
          <m:sub>
            <m:r>
              <m:t>2</m:t>
            </m:r>
          </m:sub>
        </m:sSub>
      </m:oMath>
      <w:r>
        <w:t xml:space="preserve"> </w:t>
      </w:r>
      <w:r>
        <w:t xml:space="preserve">on mean-centered FSTS</w:t>
      </w:r>
      <w:r>
        <w:t xml:space="preserve"> </w:t>
      </w:r>
      <m:oMath>
        <m:r>
          <m:rPr>
            <m:sty m:val="p"/>
          </m:rPr>
          <m:t>≈</m:t>
        </m:r>
      </m:oMath>
      <w:r>
        <w:t xml:space="preserve"> </w:t>
      </w:r>
      <w:r>
        <w:t xml:space="preserve">77.8%; adding back the sample mean of 0.045 gives</w:t>
      </w:r>
      <w:r>
        <w:t xml:space="preserve"> </w:t>
      </w:r>
      <m:oMath>
        <m:r>
          <m:rPr>
            <m:sty m:val="p"/>
          </m:rPr>
          <m:t>≈</m:t>
        </m:r>
      </m:oMath>
      <w:r>
        <w:t xml:space="preserve"> </w:t>
      </w:r>
      <w:r>
        <w:t xml:space="preserve">82%.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r>
        <w:t xml:space="preserve"> </w:t>
      </w:r>
      <w:r>
        <w:t xml:space="preserve">Figure 3 visualises the baseline quadratic fit between export intensity and labour productivity. The fitted curve implies a turning point near FSTS = 82 % on the original scale (computed as</w:t>
      </w:r>
      <w:r>
        <w:t xml:space="preserve"> </w:t>
      </w:r>
      <m:oMath>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on mean-centred FSTS</w:t>
      </w:r>
      <w:r>
        <w:t xml:space="preserve"> </w:t>
      </w:r>
      <m:oMath>
        <m:r>
          <m:rPr>
            <m:sty m:val="p"/>
          </m:rPr>
          <m:t>≈</m:t>
        </m:r>
      </m:oMath>
      <w:r>
        <w:t xml:space="preserve"> </w:t>
      </w:r>
      <w:r>
        <w:t xml:space="preserve">77.8 %, plus the sample mean 0.045), but the point estimate is loosely identified, its 95 % percentile bootstrap confidence interval spans [53 %, 253 %], and lies in a sparsely populated upper tail of the sample. The Lind–Mehlum test does not formally confirm a conventional inverted-U at standard significance levels. The appropriate interpretation is therefore not that the classic nonlinear literature is overturned, but that in this Singapore sample the right-side decline of the curve appears attenuated or shifted beyond the export range occupied by most firms in the data.</w:t>
      </w:r>
    </w:p>
    <w:bookmarkEnd w:id="55"/>
    <w:bookmarkStart w:id="56" w:name="Xc8e997e14555d7ba8da5c1d596c5311617447cd"/>
    <w:p>
      <w:pPr>
        <w:pStyle w:val="Heading3"/>
      </w:pPr>
      <w:r>
        <w:t xml:space="preserve">4.5 Robustness checks</w:t>
      </w:r>
    </w:p>
    <w:p>
      <w:pPr>
        <w:pStyle w:val="FirstParagraph"/>
      </w:pPr>
      <w:r>
        <w:t xml:space="preserve">The robustness analysis shows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 .011] in the canonical specification to 1.88 [p =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w:t>
      </w:r>
      <w:r>
        <w:t xml:space="preserve"> </w:t>
      </w:r>
      <m:oMath>
        <m:sSup>
          <m:e>
            <m:r>
              <m:t>f</m:t>
            </m:r>
          </m:e>
          <m:sup>
            <m:r>
              <m:t>2</m:t>
            </m:r>
          </m:sup>
        </m:sSup>
      </m:oMath>
      <w:r>
        <w:t xml:space="preserve"> </w:t>
      </w:r>
      <w:r>
        <w:t xml:space="preserve">for the TCI direct effect (comparing M2 with M5) is approximately 0.036, in the small-to-medium range; Cohen’s</w:t>
      </w:r>
      <w:r>
        <w:t xml:space="preserve"> </w:t>
      </w:r>
      <m:oMath>
        <m:sSup>
          <m:e>
            <m:r>
              <m:t>f</m:t>
            </m:r>
          </m:e>
          <m:sup>
            <m:r>
              <m:t>2</m:t>
            </m:r>
          </m:sup>
        </m:sSup>
      </m:oMath>
      <w:r>
        <w:t xml:space="preserve"> </w:t>
      </w:r>
      <w:r>
        <w:t xml:space="preserve">for the DAI moderation block (comparing M7 with M8) is approximately 0.018, below Cohen’s (1988) conventional small-effect threshold of 0.02. These effect sizes reinforce a cautious interpretation. A formal power analysis quantifies the implication: at</w:t>
      </w:r>
      <w:r>
        <w:t xml:space="preserve"> </w:t>
      </w:r>
      <m:oMath>
        <m:sSup>
          <m:e>
            <m:r>
              <m:t>f</m:t>
            </m:r>
          </m:e>
          <m:sup>
            <m:r>
              <m:t>2</m:t>
            </m:r>
          </m:sup>
        </m:sSup>
      </m:oMath>
      <w:r>
        <w:t xml:space="preserve">=0.018 with</w:t>
      </w:r>
      <w:r>
        <w:t xml:space="preserve"> </w:t>
      </w:r>
      <m:oMath>
        <m:r>
          <m:t>α</m:t>
        </m:r>
      </m:oMath>
      <w:r>
        <w:t xml:space="preserve">=.05 and one numerator degree of freedom, achieving 80% power requires approximately N &gt; 430 (computed from standard power-analysis formulae for multiple regression; cf. Cohen, 1988, pp. 407–414). The full analytic sample (N=617) is adequate for this level, but the exporters-only subsample (N=84) is substantially underpowered for effects of this magnitude, power at N=84 and</w:t>
      </w:r>
      <w:r>
        <w:t xml:space="preserve"> </w:t>
      </w:r>
      <m:oMath>
        <m:sSup>
          <m:e>
            <m:r>
              <m:t>f</m:t>
            </m:r>
          </m:e>
          <m:sup>
            <m:r>
              <m:t>2</m:t>
            </m:r>
          </m:sup>
        </m:sSup>
      </m:oMath>
      <w:r>
        <w:t xml:space="preserve">=0.018 is approximately 16%. This means that null DAI moderation results in the exporters-only specification should not be interpreted as evidence against the conditional-scaling mechanism, but as a reflection of inadequate sample size for detecting the small effect implied by the full-sample estimates. The significant exporters-only result reported in the robustness checks (Section 4.5 R5:</w:t>
      </w:r>
      <w:r>
        <w:t xml:space="preserve"> </w:t>
      </w:r>
      <m:oMath>
        <m:r>
          <m:t>β</m:t>
        </m:r>
      </m:oMath>
      <w:r>
        <w:t xml:space="preserve">=+2.821, joint F p = .003) is therefore a stronger positive signal than its marginal sample size would ordinarily support, and should be interpreted cautiously despite its statistical significance.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w:t>
      </w:r>
      <m:oMath>
        <m:r>
          <m:t>β</m:t>
        </m:r>
      </m:oMath>
      <w:r>
        <w:t xml:space="preserve">=+2.821) and the joint F-test is significant (F = 6.32, p = .003), though individual coefficient precision is reduced by the small exporter sample. This supports the conditional scaling interpretation but should be read cautiously given thin support in the upper tail. (ii)</w:t>
      </w:r>
      <w:r>
        <w:t xml:space="preserve"> </w:t>
      </w:r>
      <w:r>
        <w:rPr>
          <w:iCs/>
          <w:i/>
        </w:rPr>
        <w:t xml:space="preserve">Export participation selection</w:t>
      </w:r>
      <w:r>
        <w:t xml:space="preserve">: a Heckman two-step correction was explored, but no instrument satisfying the exclusion restriction for export participation could be identified in the single-wave Singapore design, cross-sectional variation in trade costs or export-promotion eligibility is not available in WBES 2023 Singapore. As a reduced-form sensitivity check, we estimated a first-stage probit of export participation on observable firm characteristics (age, log size, sector fixed effects, and WBES sampling stratum) and added the resulting inverse Mills ratio (IMR) as a covariate in the M8 specification. The IMR enters with marginal significance (</w:t>
      </w:r>
      <m:oMath>
        <m:r>
          <m:t>β</m:t>
        </m:r>
      </m:oMath>
      <w:r>
        <w:t xml:space="preserve"> </w:t>
      </w:r>
      <w:r>
        <w:t xml:space="preserve">= 0.264, SE = 0.138, t = 1.92, p = .055), indicating mild selection at the extensive margin of export participation. The key DAI</w:t>
      </w:r>
      <m:oMath>
        <m:r>
          <m:rPr>
            <m:sty m:val="p"/>
          </m:rPr>
          <m:t>×</m:t>
        </m:r>
      </m:oMath>
      <m:oMath>
        <m:sSup>
          <m:e>
            <m:r>
              <m:rPr>
                <m:sty m:val="p"/>
              </m:rPr>
              <m:t>F</m:t>
            </m:r>
            <m:r>
              <m:rPr>
                <m:sty m:val="p"/>
              </m:rPr>
              <m:t>S</m:t>
            </m:r>
            <m:r>
              <m:rPr>
                <m:sty m:val="p"/>
              </m:rPr>
              <m:t>T</m:t>
            </m:r>
            <m:r>
              <m:rPr>
                <m:sty m:val="p"/>
              </m:rPr>
              <m:t>S</m:t>
            </m:r>
          </m:e>
          <m:sup>
            <m:r>
              <m:t>2</m:t>
            </m:r>
          </m:sup>
        </m:sSup>
      </m:oMath>
      <w:r>
        <w:t xml:space="preserve"> </w:t>
      </w:r>
      <w:r>
        <w:t xml:space="preserve">interaction (H4) and the TCI coefficient are not materially altered (|</w:t>
      </w:r>
      <m:oMath>
        <m:r>
          <m:t>Δ</m:t>
        </m:r>
      </m:oMath>
      <w:r>
        <w:t xml:space="preserve">| &lt; 0.02 in each case), confirming that the digital complementarity mechanism is robust to this selection correction. The baseline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level coefficients attenuate substantially when the IMR is included, consistent with selection partially confounding the overall level of the I–P relationship rather than its contingent digital moderation pattern. Consistent with Wolfolds and Siegel (2019), the OLS estimates are reported as the primary specification with the caveat that selection on unobservables cannot be fully excluded from the single-wave cross-sectional design. (iii)</w:t>
      </w:r>
      <w:r>
        <w:t xml:space="preserve"> </w:t>
      </w:r>
      <w:r>
        <w:rPr>
          <w:iCs/>
          <w:i/>
        </w:rPr>
        <w:t xml:space="preserve">Tobit alternative</w:t>
      </w:r>
      <w:r>
        <w:t xml:space="preserve">: because FSTS is bounded on [0,1], a Tobit specification (censored at 0) was estimated as a robustness check; the positive quadratic DAI interaction retains its sign and direction, consistent with the OLS results reported in Table 4.</w:t>
      </w:r>
      <w:r>
        <w:t xml:space="preserve"> </w:t>
      </w:r>
      <w:r>
        <w:t xml:space="preserve">Table 4.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w:r>
              <w:t xml:space="preserve">DAI</w:t>
            </w:r>
          </w:p>
        </w:tc>
        <w:tc>
          <w:tcPr/>
          <w:p>
            <w:pPr>
              <w:pStyle w:val="Compact"/>
              <w:jc w:val="left"/>
            </w:pPr>
            <w:r>
              <w:t xml:space="preserve">Joint F (p)</w:t>
            </w:r>
          </w:p>
        </w:tc>
        <w:tc>
          <w:tcPr/>
          <w:p>
            <w:pPr>
              <w:pStyle w:val="Compact"/>
              <w:jc w:val="left"/>
            </w:pPr>
            <w:r>
              <w:t xml:space="preserve">Adj.</w:t>
            </w:r>
            <w:r>
              <w:t xml:space="preserve"> </w:t>
            </w:r>
            <m:oMath>
              <m:sSup>
                <m:e>
                  <m:r>
                    <m:t>R</m:t>
                  </m:r>
                </m:e>
                <m:sup>
                  <m:r>
                    <m:t>2</m:t>
                  </m:r>
                </m:sup>
              </m:sSup>
            </m:oMath>
          </w:p>
        </w:tc>
      </w:tr>
      <w:tr>
        <w:tc>
          <w:tcPr/>
          <w:p>
            <w:pPr>
              <w:pStyle w:val="Compact"/>
              <w:jc w:val="left"/>
            </w:pPr>
            <w:r>
              <w:t xml:space="preserve">Baseline (</w:t>
            </w:r>
            <m:oMath>
              <m:sSub>
                <m:e>
                  <m:r>
                    <m:rPr>
                      <m:sty m:val="p"/>
                    </m:rPr>
                    <m:t>T</m:t>
                  </m:r>
                  <m:r>
                    <m:rPr>
                      <m:sty m:val="p"/>
                    </m:rPr>
                    <m:t>C</m:t>
                  </m:r>
                  <m:r>
                    <m:rPr>
                      <m:sty m:val="p"/>
                    </m:rPr>
                    <m:t>I</m:t>
                  </m:r>
                </m:e>
                <m:sub>
                  <m:r>
                    <m:rPr>
                      <m:nor/>
                      <m:sty m:val="p"/>
                    </m:rPr>
                    <m:t>full</m:t>
                  </m:r>
                </m:sub>
              </m:sSub>
            </m:oMath>
            <w:r>
              <w:t xml:space="preserve"> </w:t>
            </w:r>
            <w:r>
              <w:t xml:space="preserve">+</w:t>
            </w:r>
            <w:r>
              <w:t xml:space="preserve"> </w:t>
            </w:r>
            <m:oMath>
              <m:sSub>
                <m:e>
                  <m:r>
                    <m:rPr>
                      <m:sty m:val="p"/>
                    </m:rPr>
                    <m:t>D</m:t>
                  </m:r>
                  <m:r>
                    <m:rPr>
                      <m:sty m:val="p"/>
                    </m:rPr>
                    <m:t>A</m:t>
                  </m:r>
                  <m:r>
                    <m:rPr>
                      <m:sty m:val="p"/>
                    </m:rPr>
                    <m:t>I</m:t>
                  </m:r>
                </m:e>
                <m:sub>
                  <m:r>
                    <m:rPr>
                      <m:nor/>
                      <m:sty m:val="p"/>
                    </m:rPr>
                    <m:t>rich</m:t>
                  </m:r>
                </m:sub>
              </m:sSub>
            </m:oMath>
            <w:r>
              <w:t xml:space="preserve">)</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w:t>
            </w:r>
            <w:r>
              <w:t xml:space="preserve"> </w:t>
            </w:r>
            <m:oMath>
              <m:sSub>
                <m:e>
                  <m:r>
                    <m:rPr>
                      <m:sty m:val="p"/>
                    </m:rPr>
                    <m:t>D</m:t>
                  </m:r>
                  <m:r>
                    <m:rPr>
                      <m:sty m:val="p"/>
                    </m:rPr>
                    <m:t>A</m:t>
                  </m:r>
                  <m:r>
                    <m:rPr>
                      <m:sty m:val="p"/>
                    </m:rPr>
                    <m:t>I</m:t>
                  </m:r>
                </m:e>
                <m:sub>
                  <m:r>
                    <m:rPr>
                      <m:nor/>
                      <m:sty m:val="p"/>
                    </m:rPr>
                    <m:t>thin</m:t>
                  </m:r>
                </m:sub>
              </m:sSub>
            </m:oMath>
            <w:r>
              <w:t xml:space="preserve"> </w:t>
            </w:r>
            <w:r>
              <w:t xml:space="preserve">(website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w:t>
            </w:r>
            <w:r>
              <w:t xml:space="preserve"> </w:t>
            </w:r>
            <m:oMath>
              <m:sSub>
                <m:e>
                  <m:r>
                    <m:rPr>
                      <m:sty m:val="p"/>
                    </m:rPr>
                    <m:t>T</m:t>
                  </m:r>
                  <m:r>
                    <m:rPr>
                      <m:sty m:val="p"/>
                    </m:rPr>
                    <m:t>C</m:t>
                  </m:r>
                  <m:r>
                    <m:rPr>
                      <m:sty m:val="p"/>
                    </m:rPr>
                    <m:t>I</m:t>
                  </m:r>
                </m:e>
                <m:sub>
                  <m:r>
                    <m:rPr>
                      <m:nor/>
                      <m:sty m:val="p"/>
                    </m:rPr>
                    <m:t>thin</m:t>
                  </m:r>
                </m:sub>
              </m:sSub>
            </m:oMath>
            <w:r>
              <w:t xml:space="preserve"> </w:t>
            </w:r>
            <w:r>
              <w:t xml:space="preserve">(e6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4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p>
    <w:bookmarkEnd w:id="56"/>
    <w:bookmarkEnd w:id="57"/>
    <w:bookmarkStart w:id="60" w:name="X735612638e4e736e4693e459c258977262c0dfc"/>
    <w:p>
      <w:pPr>
        <w:pStyle w:val="Heading2"/>
      </w:pPr>
      <w:r>
        <w:t xml:space="preserve">5 Discussion</w:t>
      </w:r>
    </w:p>
    <w:bookmarkStart w:id="58" w:name="X027b31c2d090a00917aa7291770680fd40b64cd"/>
    <w:p>
      <w:pPr>
        <w:pStyle w:val="Heading3"/>
      </w:pPr>
      <w:r>
        <w:t xml:space="preserve">5.1 Theoretical implications</w:t>
      </w:r>
    </w:p>
    <w:p>
      <w:pPr>
        <w:pStyle w:val="FirstParagraph"/>
      </w:pPr>
      <w:r>
        <w:t xml:space="preserve">Three theoretical implications follow from these findings. The TCI result is the most straightforward: it supports a capability-depth interpretation of firm performance in internationalizing firms. Technological capability is positively associated with labour productivity in a way that proves more stable than any moderation pattern identified in the present design, which fits the view that internal capability depth underpins a stronger productivity base from which firms engage international markets. This reading sits comfortably within the absorptive-capacity and technological-capability traditions, treating learning, innovation, and technology absorption as firm-internal sources of productivity heterogeneity rather than as clearly identified shifters of I–P curvature.</w:t>
      </w:r>
      <w:r>
        <w:t xml:space="preserve"> </w:t>
      </w:r>
      <w:r>
        <w:t xml:space="preserve">The second implication concerns the curve itself: the evidence qualifies rather than overturns the conventional nonlinear I–P literature. In the Singapore sample, the fitted quadratic displays mild curvature, but the right-side decline is not formally identified within the export-intensity range occupied by most firms, and the implied turning point lies in a sparsely populated upper tail. The appropriate theoretical reading is therefore not that this study establishes a general boundary condition for digitally mature economies. It is, rather, that the study provides within-context evidence from Singapore showing how the conventional I–P logic appears when most firms remain clustered at very low export intensity and the upper tail is thin. In this respect Singapore exemplifies the</w:t>
      </w:r>
      <w:r>
        <w:t xml:space="preserve"> </w:t>
      </w:r>
      <w:r>
        <w:rPr>
          <w:iCs/>
          <w:i/>
        </w:rPr>
        <w:t xml:space="preserve">internationalization-to-scale</w:t>
      </w:r>
      <w:r>
        <w:t xml:space="preserve"> </w:t>
      </w:r>
      <w:r>
        <w:t xml:space="preserve">pole: in a strong-institution environment with minimal transaction costs, exporting reads as a margin-optimizing activity with near-monotonic positive returns and a very late implied turning point, rather than as a survival response in which coordination ceilings bite early. A companion Vietnam study, set in a weaker-institution environment, offers the contrasting</w:t>
      </w:r>
      <w:r>
        <w:t xml:space="preserve"> </w:t>
      </w:r>
      <w:r>
        <w:rPr>
          <w:iCs/>
          <w:i/>
        </w:rPr>
        <w:t xml:space="preserve">internationalization-to-survive</w:t>
      </w:r>
      <w:r>
        <w:t xml:space="preserve"> </w:t>
      </w:r>
      <w:r>
        <w:t xml:space="preserve">pole, and the juxtaposition clarifies that the late, loosely identified turning point observed here is an institutional feature of the high-institution setting rather than an anomaly. The study thus sharpens interpretation of the nonlinear literature without claiming that a single-country cross-section can separate a context-specific mechanism from Singapore-specific institutional features.</w:t>
      </w:r>
      <w:r>
        <w:t xml:space="preserve"> </w:t>
      </w:r>
      <w:r>
        <w:t xml:space="preserve">The third implication, and the one least anticipated by prior work, is that the DAI result casts foundational digital adoption as a conditional scaling resource rather than a uniform firm-level productivity premium. Across much of the observed export-intensity distribution, the DAI association is weak or statistically indistinct. It becomes more positive only in the high-export tail, where firms face denser cross-border coordination and transaction demands. This pattern is consistent with the idea that Tier 1–2 digital adoption matters most when firms have sufficient international throughput to use digital interfaces and transaction-enabling systems intensively, though it also signals that the evidence is concentrated in a thin-support region and should be read cautiously. From a transaction-cost perspective (Coase, 1937; Williamson, 1985), the conditional pattern is consistent with foundational digital interfaces absorbing coordination and information-processing costs that scale super-linearly with cross-border transaction volume; below the threshold at which firms operate at high export intensity, the marginal benefit of these systems may not exceed the fixed costs of installation and routine use, which would explain why no uniform productivity premium is observed across the full sample. Framed as a</w:t>
      </w:r>
      <w:r>
        <w:t xml:space="preserve"> </w:t>
      </w:r>
      <w:r>
        <w:rPr>
          <w:iCs/>
          <w:i/>
        </w:rPr>
        <w:t xml:space="preserve">fixed-transaction-cost amortization</w:t>
      </w:r>
      <w:r>
        <w:t xml:space="preserve"> </w:t>
      </w:r>
      <w:r>
        <w:t xml:space="preserve">logic, the sunk fixed cost of installing advanced digital interfaces is recovered only at extreme export scale; this is one reason the implied turning point is pushed into the high-FSTS tail (</w:t>
      </w:r>
      <m:oMath>
        <m:r>
          <m:rPr>
            <m:sty m:val="p"/>
          </m:rPr>
          <m:t>≈</m:t>
        </m:r>
      </m:oMath>
      <w:r>
        <w:t xml:space="preserve">82%) rather than the conventional 30–60% range (a support-constrained estimate, not a precise threshold). In this role DAI operates as a</w:t>
      </w:r>
      <w:r>
        <w:t xml:space="preserve"> </w:t>
      </w:r>
      <w:r>
        <w:rPr>
          <w:iCs/>
          <w:i/>
        </w:rPr>
        <w:t xml:space="preserve">scale lubricant</w:t>
      </w:r>
      <w:r>
        <w:t xml:space="preserve"> </w:t>
      </w:r>
      <w:r>
        <w:t xml:space="preserve">that lowers the marginal coordination cost of each additional unit of cross-border throughput, rather than as a uniform firm-wide premium. The absence of a uniform DAI premium across the full sample is itself theoretically informative: in an environment where Tier 1–2 digital tools are near-universally diffused, these tools cannot generate cross-sectional productivity advantages in domestic operations, consistent with the digital saturation paradox outlined in the introduction. Their measurable return surfaces only when the scaling demands of high export intensity justify intensive use of digital interfaces and transaction systems.</w:t>
      </w:r>
    </w:p>
    <w:p>
      <w:pPr>
        <w:pStyle w:val="BodyText"/>
      </w:pPr>
      <w:r>
        <w:t xml:space="preserve">Three candidate mechanisms can account for the observed conditional pattern, and the present cross-section design allows the evidence to be classified but not causally adjudicated. A</w:t>
      </w:r>
      <w:r>
        <w:t xml:space="preserve"> </w:t>
      </w:r>
      <w:r>
        <w:rPr>
          <w:iCs/>
          <w:i/>
        </w:rPr>
        <w:t xml:space="preserve">substitution</w:t>
      </w:r>
      <w:r>
        <w:t xml:space="preserve"> </w:t>
      </w:r>
      <w:r>
        <w:t xml:space="preserve">mechanism would predict that digital adoption compensates for weaker alternative coordination resources at high export intensity, reducing per-unit coordination cost and thereby raising productivity among high-intensity exporters. An</w:t>
      </w:r>
      <w:r>
        <w:t xml:space="preserve"> </w:t>
      </w:r>
      <w:r>
        <w:rPr>
          <w:iCs/>
          <w:i/>
        </w:rPr>
        <w:t xml:space="preserve">amplification</w:t>
      </w:r>
      <w:r>
        <w:t xml:space="preserve"> </w:t>
      </w:r>
      <w:r>
        <w:t xml:space="preserve">mechanism, by contrast, would predict that digital adoption raises the marginal productivity return to each unit of export intensity, effectively rotating the I–P curve upward for high-DAI firms rather than merely shifting it. The positive quadratic interaction (</w:t>
      </w:r>
      <m:oMath>
        <m:r>
          <m:t>β</m:t>
        </m:r>
      </m:oMath>
      <w:r>
        <w:t xml:space="preserve">=+3.119, p = .005) fits amplification most closely: DAI specifically elevates productivity in the high-export tail where cross-border coordination demands are densest, and the positive quadratic form implies that DAI's productivity contribution accelerates rather than merely shifts with export intensity. The remaining candidate, a</w:t>
      </w:r>
      <w:r>
        <w:t xml:space="preserve"> </w:t>
      </w:r>
      <w:r>
        <w:rPr>
          <w:iCs/>
          <w:i/>
        </w:rPr>
        <w:t xml:space="preserve">selection</w:t>
      </w:r>
      <w:r>
        <w:t xml:space="preserve"> </w:t>
      </w:r>
      <w:r>
        <w:t xml:space="preserve">mechanism, would predict that inherently more productive firms simultaneously select into high digital adoption and high export intensity, producing a spurious interaction in cross-sectional data. The robustness of the positive quadratic interaction across sample restrictions and indicator-sensitivity diagnostics is inconsistent with a pure selection story, though the absence of an instrument for digital adoption means selection cannot be fully ruled out. The most parsimonious reading, then, is that the Singapore evidence is consistent with amplification as the primary mechanism, with the caveat that the selection confound cannot be excluded without stronger causal identification.</w:t>
      </w:r>
    </w:p>
    <w:p>
      <w:pPr>
        <w:pStyle w:val="BodyText"/>
      </w:pPr>
      <w:r>
        <w:t xml:space="preserve">The contribution here is thus not to establish a universal digitalization mechanism, but to clarify that foundational digital adoption and technological capability are analytically distinct and empirically associated with performance in different ways within this setting.</w:t>
      </w:r>
    </w:p>
    <w:p>
      <w:pPr>
        <w:pStyle w:val="BodyText"/>
      </w:pPr>
      <w:r>
        <w:t xml:space="preserve">Influential conceptual work on digital internationalization has proposed frameworks for platform boundaries and internalization in digital settings (Banalieva &amp; Dhanaraj, 2019; Stallkamp &amp; Schotter, 2021), but firm-level empirical evidence on how foundational digital adoption interacts with export intensity within a single digitally advanced economy remains limited. The present findings provide one such data point.</w:t>
      </w:r>
    </w:p>
    <w:p>
      <w:pPr>
        <w:pStyle w:val="BodyText"/>
      </w:pPr>
      <w:r>
        <w:rPr>
          <w:bCs/>
          <w:b/>
        </w:rPr>
        <w:t xml:space="preserve">Construct-scope note.</w:t>
      </w:r>
      <w:r>
        <w:t xml:space="preserve"> </w:t>
      </w:r>
      <w:r>
        <w:t xml:space="preserve">The DAI construct in this paper (Tier 1+2: website presence c22b + electronic payment intensity k33/k38) is comparatively comprehensive: it combines a Tier 1 digital-presence binary with Tier 2 transaction-enabling indicators. In contexts where only the Tier 1 binary is available, the contingent digital-complementarity mechanism would be expected to be harder to detect because Tier 1 indicators saturate faster than Tier 2 transaction-volume indicators. The positive quadratic interaction documented here (</w:t>
      </w:r>
      <m:oMath>
        <m:r>
          <m:t>β</m:t>
        </m:r>
      </m:oMath>
      <w:r>
        <w:t xml:space="preserve"> </w:t>
      </w:r>
      <w:r>
        <w:t xml:space="preserve">= +3.119, p = .005) reflects the discriminatory power that Tier 2 e-payment intensity contributes to the composite. The present findings document the Advanced end of the institutional spectrum, where this conditional digital-complementarity mechanism is most legible because domestic Tier 1 saturation removes a confounding uniform-premium effect. More pointedly, the amplification visible in Singapore appears to require a</w:t>
      </w:r>
      <w:r>
        <w:t xml:space="preserve"> </w:t>
      </w:r>
      <w:r>
        <w:rPr>
          <w:iCs/>
          <w:i/>
        </w:rPr>
        <w:t xml:space="preserve">depth threshold</w:t>
      </w:r>
      <w:r>
        <w:t xml:space="preserve"> </w:t>
      </w:r>
      <w:r>
        <w:t xml:space="preserve">in digital adoption: it surfaces once firms move beyond a saturated Tier 1 layer (website presence) into combined Tier 1+2 depth (electronic payment and transaction integration), which is precisely why the moderation signal weakens when the index is reduced to the website-only measure. This supports a reading of foundational digital adoption as a context-dependent resource whose performance amplification is contingent on crossing a depth threshold, rather than a uniform advantage. In settings where only a saturated Tier 1 layer is observable, as in a companion study, the same depth-contingent amplification would be expected to remain latent, because the discriminating Tier 2 transaction-volume variation is absent.</w:t>
      </w:r>
    </w:p>
    <w:bookmarkEnd w:id="58"/>
    <w:bookmarkStart w:id="59" w:name="Xa4e692b259d9b803bab54ad026a7e8d888a5d2c"/>
    <w:p>
      <w:pPr>
        <w:pStyle w:val="Heading3"/>
      </w:pPr>
      <w:r>
        <w:t xml:space="preserve">5.2 Managerial implications</w:t>
      </w:r>
    </w:p>
    <w:p>
      <w:pPr>
        <w:pStyle w:val="FirstParagraph"/>
      </w:pP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for all firms equally.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p>
    <w:bookmarkEnd w:id="59"/>
    <w:bookmarkEnd w:id="60"/>
    <w:bookmarkStart w:id="61" w:name="X6b297cc947e0db5526be369b1f0f4ddc67b2415"/>
    <w:p>
      <w:pPr>
        <w:pStyle w:val="Heading2"/>
      </w:pPr>
      <w:r>
        <w:t xml:space="preserve">6 Conclusion</w:t>
      </w:r>
    </w:p>
    <w:p>
      <w:pPr>
        <w:pStyle w:val="FirstParagraph"/>
      </w:pP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shows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p>
    <w:bookmarkEnd w:id="61"/>
    <w:bookmarkStart w:id="62" w:name="X422fdd10c3908fe492ea939b97371c73422dbba"/>
    <w:p>
      <w:pPr>
        <w:pStyle w:val="Heading2"/>
      </w:pPr>
      <w:r>
        <w:t xml:space="preserve">7 Limitations and Future Research</w:t>
      </w:r>
    </w:p>
    <w:p>
      <w:pPr>
        <w:pStyle w:val="FirstParagraph"/>
      </w:pPr>
      <w:r>
        <w:t xml:space="preserve">Three limitations warrant caution in interpreting the findings. The first is one of design: the analysis rests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then, is that the study documents how these variables co-vary in Singapore rather than establishing a causal mechanism.</w:t>
      </w:r>
      <w:r>
        <w:t xml:space="preserve"> </w:t>
      </w:r>
      <w:r>
        <w:t xml:space="preserve">A second limitation is the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The third limitation is one of measurement: the estimated digital-adoption effect should be read within the boundary of the available indicators. The DAI construct captures Tier 1–2 digital adoption, digital presence and electronic-transaction usage,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including instrumental-variable or difference-in-differences specifications keyed to digital-infrastructure rollouts or trade-policy shocks,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p>
    <w:bookmarkEnd w:id="62"/>
    <w:bookmarkStart w:id="64" w:name="data-availability-statement"/>
    <w:p>
      <w:pPr>
        <w:pStyle w:val="Heading2"/>
      </w:pPr>
      <w:r>
        <w:t xml:space="preserve">Data Availability Statement</w:t>
      </w:r>
    </w:p>
    <w:p>
      <w:pPr>
        <w:pStyle w:val="FirstParagraph"/>
      </w:pPr>
      <w:r>
        <w:t xml:space="preserve">The data analyzed in this study are from the World Bank Enterprise Survey (WBES) Singapore 2023 wave, publicly available at</w:t>
      </w:r>
      <w:r>
        <w:t xml:space="preserve"> </w:t>
      </w:r>
      <w:hyperlink r:id="rId63">
        <w:r>
          <w:rPr>
            <w:rStyle w:val="Hyperlink"/>
          </w:rPr>
          <w:t xml:space="preserve">https://www.enterprisesurveys.org</w:t>
        </w:r>
      </w:hyperlink>
      <w:r>
        <w:t xml:space="preserve">. Analysis scripts to replicate the results are available from the corresponding author on reasonable request.</w:t>
      </w:r>
    </w:p>
    <w:bookmarkEnd w:id="64"/>
    <w:bookmarkStart w:id="65"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65"/>
    <w:bookmarkStart w:id="95"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w:t>
      </w:r>
      <w:r>
        <w:t xml:space="preserve">,</w:t>
      </w:r>
      <w:r>
        <w:t xml:space="preserve"> </w:t>
      </w:r>
      <w:r>
        <w:rPr>
          <w:iCs/>
          <w:i/>
        </w:rPr>
        <w:t xml:space="preserve">90</w:t>
      </w:r>
      <w:r>
        <w:t xml:space="preserve">(1), 94–107.</w:t>
      </w:r>
      <w:r>
        <w:t xml:space="preserve"> </w:t>
      </w:r>
      <w:hyperlink r:id="rId66">
        <w:r>
          <w:rPr>
            <w:rStyle w:val="Hyperlink"/>
          </w:rPr>
          <w:t xml:space="preserve">https://doi.org/10.1037/0021-9010.90.1.94</w:t>
        </w:r>
      </w:hyperlink>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w:t>
      </w:r>
      <w:r>
        <w:t xml:space="preserve">,</w:t>
      </w:r>
      <w:r>
        <w:t xml:space="preserve"> </w:t>
      </w:r>
      <w:r>
        <w:rPr>
          <w:iCs/>
          <w:i/>
        </w:rPr>
        <w:t xml:space="preserve">21</w:t>
      </w:r>
      <w:r>
        <w:t xml:space="preserve">(6), 1086–1120.</w:t>
      </w:r>
      <w:r>
        <w:t xml:space="preserve"> </w:t>
      </w:r>
      <w:hyperlink r:id="rId67">
        <w:r>
          <w:rPr>
            <w:rStyle w:val="Hyperlink"/>
          </w:rPr>
          <w:t xml:space="preserve">https://doi.org/10.1016/j.leaqua.2010.10.010</w:t>
        </w:r>
      </w:hyperlink>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w:t>
      </w:r>
      <w:r>
        <w:t xml:space="preserve">,</w:t>
      </w:r>
      <w:r>
        <w:t xml:space="preserve"> </w:t>
      </w:r>
      <w:r>
        <w:rPr>
          <w:iCs/>
          <w:i/>
        </w:rPr>
        <w:t xml:space="preserve">33</w:t>
      </w:r>
      <w:r>
        <w:t xml:space="preserve">(2), 304–329.</w:t>
      </w:r>
      <w:r>
        <w:t xml:space="preserve"> </w:t>
      </w:r>
      <w:hyperlink r:id="rId68">
        <w:r>
          <w:rPr>
            <w:rStyle w:val="Hyperlink"/>
          </w:rPr>
          <w:t xml:space="preserve">https://doi.org/10.1057/s41287-020-00328-2</w:t>
        </w:r>
      </w:hyperlink>
      <w:r>
        <w:t xml:space="preserve"> </w:t>
      </w:r>
      <w:r>
        <w:t xml:space="preserve">Banalieva, E. R., &amp; Dhanaraj, C. (2019). Internalization theory for the digital economy.</w:t>
      </w:r>
      <w:r>
        <w:t xml:space="preserve"> </w:t>
      </w:r>
      <w:r>
        <w:rPr>
          <w:iCs/>
          <w:i/>
        </w:rPr>
        <w:t xml:space="preserve">Journal of International Business Studies</w:t>
      </w:r>
      <w:r>
        <w:t xml:space="preserve">,</w:t>
      </w:r>
      <w:r>
        <w:t xml:space="preserve"> </w:t>
      </w:r>
      <w:r>
        <w:rPr>
          <w:iCs/>
          <w:i/>
        </w:rPr>
        <w:t xml:space="preserve">50</w:t>
      </w:r>
      <w:r>
        <w:t xml:space="preserve">(8), 1372–1387.</w:t>
      </w:r>
      <w:r>
        <w:t xml:space="preserve"> </w:t>
      </w:r>
      <w:hyperlink r:id="rId69">
        <w:r>
          <w:rPr>
            <w:rStyle w:val="Hyperlink"/>
          </w:rPr>
          <w:t xml:space="preserve">https://doi.org/10.1057/s41267-019-00243-7</w:t>
        </w:r>
      </w:hyperlink>
      <w:r>
        <w:t xml:space="preserve"> </w:t>
      </w:r>
      <w:r>
        <w:t xml:space="preserve">Barney, J. (1991). Firm resources and sustained competitive advantage.</w:t>
      </w:r>
      <w:r>
        <w:t xml:space="preserve"> </w:t>
      </w:r>
      <w:r>
        <w:rPr>
          <w:iCs/>
          <w:i/>
        </w:rPr>
        <w:t xml:space="preserve">Journal of Management</w:t>
      </w:r>
      <w:r>
        <w:t xml:space="preserve">,</w:t>
      </w:r>
      <w:r>
        <w:t xml:space="preserve"> </w:t>
      </w:r>
      <w:r>
        <w:rPr>
          <w:iCs/>
          <w:i/>
        </w:rPr>
        <w:t xml:space="preserve">17</w:t>
      </w:r>
      <w:r>
        <w:t xml:space="preserve">(1), 99–120.</w:t>
      </w:r>
      <w:r>
        <w:t xml:space="preserve"> </w:t>
      </w:r>
      <w:hyperlink r:id="rId70">
        <w:r>
          <w:rPr>
            <w:rStyle w:val="Hyperlink"/>
          </w:rPr>
          <w:t xml:space="preserve">https://doi.org/10.1177/014920639101700108</w:t>
        </w:r>
      </w:hyperlink>
      <w:r>
        <w:t xml:space="preserve"> </w:t>
      </w:r>
      <w:r>
        <w:t xml:space="preserve">Bharadwaj, A., El Sawy, O. A., Pavlou, P. A., &amp; Venkatraman, N. (2013). Digital business strategy: Toward a next generation of insights.</w:t>
      </w:r>
      <w:r>
        <w:t xml:space="preserve"> </w:t>
      </w:r>
      <w:r>
        <w:rPr>
          <w:iCs/>
          <w:i/>
        </w:rPr>
        <w:t xml:space="preserve">MIS Quarterly</w:t>
      </w:r>
      <w:r>
        <w:t xml:space="preserve">,</w:t>
      </w:r>
      <w:r>
        <w:t xml:space="preserve"> </w:t>
      </w:r>
      <w:r>
        <w:rPr>
          <w:iCs/>
          <w:i/>
        </w:rPr>
        <w:t xml:space="preserve">37</w:t>
      </w:r>
      <w:r>
        <w:t xml:space="preserve">(2), 471–482.</w:t>
      </w:r>
      <w:r>
        <w:t xml:space="preserve"> </w:t>
      </w:r>
      <w:hyperlink r:id="rId71">
        <w:r>
          <w:rPr>
            <w:rStyle w:val="Hyperlink"/>
          </w:rPr>
          <w:t xml:space="preserve">https://doi.org/10.25300/MISQ/2013/37:2.3</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w:t>
      </w:r>
      <w:r>
        <w:t xml:space="preserve">,</w:t>
      </w:r>
      <w:r>
        <w:t xml:space="preserve"> </w:t>
      </w:r>
      <w:r>
        <w:rPr>
          <w:iCs/>
          <w:i/>
        </w:rPr>
        <w:t xml:space="preserve">13</w:t>
      </w:r>
      <w:r>
        <w:t xml:space="preserve">(1), 333–372.</w:t>
      </w:r>
      <w:r>
        <w:t xml:space="preserve"> </w:t>
      </w:r>
      <w:hyperlink r:id="rId72">
        <w:r>
          <w:rPr>
            <w:rStyle w:val="Hyperlink"/>
          </w:rPr>
          <w:t xml:space="preserve">https://doi.org/10.1257/mac.20180386</w:t>
        </w:r>
      </w:hyperlink>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w:t>
      </w:r>
      <w:r>
        <w:t xml:space="preserve">,</w:t>
      </w:r>
      <w:r>
        <w:t xml:space="preserve"> </w:t>
      </w:r>
      <w:r>
        <w:rPr>
          <w:iCs/>
          <w:i/>
        </w:rPr>
        <w:t xml:space="preserve">35</w:t>
      </w:r>
      <w:r>
        <w:t xml:space="preserve">(1), 128–152.</w:t>
      </w:r>
      <w:r>
        <w:t xml:space="preserve"> </w:t>
      </w:r>
      <w:hyperlink r:id="rId73">
        <w:r>
          <w:rPr>
            <w:rStyle w:val="Hyperlink"/>
          </w:rPr>
          <w:t xml:space="preserve">https://doi.org/10.2307/2393553</w:t>
        </w:r>
      </w:hyperlink>
      <w:r>
        <w:t xml:space="preserve"> </w:t>
      </w:r>
      <w:r>
        <w:t xml:space="preserve">Coase, R. H. (1937). The nature of the firm.</w:t>
      </w:r>
      <w:r>
        <w:t xml:space="preserve"> </w:t>
      </w:r>
      <w:r>
        <w:rPr>
          <w:iCs/>
          <w:i/>
        </w:rPr>
        <w:t xml:space="preserve">Economica</w:t>
      </w:r>
      <w:r>
        <w:t xml:space="preserve">,</w:t>
      </w:r>
      <w:r>
        <w:t xml:space="preserve"> </w:t>
      </w:r>
      <w:r>
        <w:rPr>
          <w:iCs/>
          <w:i/>
        </w:rPr>
        <w:t xml:space="preserve">4</w:t>
      </w:r>
      <w:r>
        <w:t xml:space="preserve">(16), 386–405.</w:t>
      </w:r>
      <w:r>
        <w:t xml:space="preserve"> </w:t>
      </w:r>
      <w:hyperlink r:id="rId74">
        <w:r>
          <w:rPr>
            <w:rStyle w:val="Hyperlink"/>
          </w:rPr>
          <w:t xml:space="preserve">https://doi.org/10.1111/j.1468-0335.1937.tb00002.x</w:t>
        </w:r>
      </w:hyperlink>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w:t>
      </w:r>
      <w:r>
        <w:t xml:space="preserve">,</w:t>
      </w:r>
      <w:r>
        <w:t xml:space="preserve"> </w:t>
      </w:r>
      <w:r>
        <w:rPr>
          <w:iCs/>
          <w:i/>
        </w:rPr>
        <w:t xml:space="preserve">61</w:t>
      </w:r>
      <w:r>
        <w:t xml:space="preserve">(12), 1250–1262.</w:t>
      </w:r>
      <w:r>
        <w:t xml:space="preserve"> </w:t>
      </w:r>
      <w:hyperlink r:id="rId75">
        <w:r>
          <w:rPr>
            <w:rStyle w:val="Hyperlink"/>
          </w:rPr>
          <w:t xml:space="preserve">https://doi.org/10.1016/j.jbusres.2008.01.013</w:t>
        </w:r>
      </w:hyperlink>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w:t>
      </w:r>
      <w:r>
        <w:t xml:space="preserve">,</w:t>
      </w:r>
      <w:r>
        <w:t xml:space="preserve"> </w:t>
      </w:r>
      <w:r>
        <w:rPr>
          <w:iCs/>
          <w:i/>
        </w:rPr>
        <w:t xml:space="preserve">34</w:t>
      </w:r>
      <w:r>
        <w:t xml:space="preserve">(1), 5–18.</w:t>
      </w:r>
      <w:r>
        <w:t xml:space="preserve"> </w:t>
      </w:r>
      <w:hyperlink r:id="rId76">
        <w:r>
          <w:rPr>
            <w:rStyle w:val="Hyperlink"/>
          </w:rPr>
          <w:t xml:space="preserve">https://doi.org/10.1057/palgrave.jibs.8400003</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w:t>
      </w:r>
      <w:r>
        <w:t xml:space="preserve">,</w:t>
      </w:r>
      <w:r>
        <w:t xml:space="preserve"> </w:t>
      </w:r>
      <w:r>
        <w:rPr>
          <w:iCs/>
          <w:i/>
        </w:rPr>
        <w:t xml:space="preserve">37</w:t>
      </w:r>
      <w:r>
        <w:t xml:space="preserve">(7), 1177–1195.</w:t>
      </w:r>
      <w:r>
        <w:t xml:space="preserve"> </w:t>
      </w:r>
      <w:hyperlink r:id="rId77">
        <w:r>
          <w:rPr>
            <w:rStyle w:val="Hyperlink"/>
          </w:rPr>
          <w:t xml:space="preserve">https://doi.org/10.1002/smj.2399</w:t>
        </w:r>
      </w:hyperlink>
      <w:r>
        <w:t xml:space="preserve"> </w:t>
      </w:r>
      <w:r>
        <w:t xml:space="preserve">Hambrick, D. C., &amp; Mason, P. A. (1984). Upper echelons: The organization as a reflection of its top managers.</w:t>
      </w:r>
      <w:r>
        <w:t xml:space="preserve"> </w:t>
      </w:r>
      <w:r>
        <w:rPr>
          <w:iCs/>
          <w:i/>
        </w:rPr>
        <w:t xml:space="preserve">Academy of Management Review</w:t>
      </w:r>
      <w:r>
        <w:t xml:space="preserve">,</w:t>
      </w:r>
      <w:r>
        <w:t xml:space="preserve"> </w:t>
      </w:r>
      <w:r>
        <w:rPr>
          <w:iCs/>
          <w:i/>
        </w:rPr>
        <w:t xml:space="preserve">9</w:t>
      </w:r>
      <w:r>
        <w:t xml:space="preserve">(2), 193–206.</w:t>
      </w:r>
      <w:r>
        <w:t xml:space="preserve"> </w:t>
      </w:r>
      <w:hyperlink r:id="rId78">
        <w:r>
          <w:rPr>
            <w:rStyle w:val="Hyperlink"/>
          </w:rPr>
          <w:t xml:space="preserve">https://doi.org/10.5465/amr.1984.4277628</w:t>
        </w:r>
      </w:hyperlink>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w:t>
      </w:r>
      <w:r>
        <w:t xml:space="preserve">,</w:t>
      </w:r>
      <w:r>
        <w:t xml:space="preserve"> </w:t>
      </w:r>
      <w:r>
        <w:rPr>
          <w:iCs/>
          <w:i/>
        </w:rPr>
        <w:t xml:space="preserve">40</w:t>
      </w:r>
      <w:r>
        <w:t xml:space="preserve">(4), 767–798.</w:t>
      </w:r>
      <w:r>
        <w:t xml:space="preserve"> </w:t>
      </w:r>
      <w:hyperlink r:id="rId79">
        <w:r>
          <w:rPr>
            <w:rStyle w:val="Hyperlink"/>
          </w:rPr>
          <w:t xml:space="preserve">https://doi.org/10.5465/256948</w:t>
        </w:r>
      </w:hyperlink>
      <w:r>
        <w:t xml:space="preserve"> </w:t>
      </w:r>
      <w:r>
        <w:t xml:space="preserve">Krammer, S. M. S., Strange, R., &amp; Lashitew, A. (2018). The export performance of emerging economy firms.</w:t>
      </w:r>
      <w:r>
        <w:t xml:space="preserve"> </w:t>
      </w:r>
      <w:r>
        <w:rPr>
          <w:iCs/>
          <w:i/>
        </w:rPr>
        <w:t xml:space="preserve">International Business Review</w:t>
      </w:r>
      <w:r>
        <w:t xml:space="preserve">,</w:t>
      </w:r>
      <w:r>
        <w:t xml:space="preserve"> </w:t>
      </w:r>
      <w:r>
        <w:rPr>
          <w:iCs/>
          <w:i/>
        </w:rPr>
        <w:t xml:space="preserve">27</w:t>
      </w:r>
      <w:r>
        <w:t xml:space="preserve">(1), 218–230.</w:t>
      </w:r>
      <w:r>
        <w:t xml:space="preserve"> </w:t>
      </w:r>
      <w:hyperlink r:id="rId80">
        <w:r>
          <w:rPr>
            <w:rStyle w:val="Hyperlink"/>
          </w:rPr>
          <w:t xml:space="preserve">https://doi.org/10.1016/j.ibusrev.2017.07.003</w:t>
        </w:r>
      </w:hyperlink>
      <w:r>
        <w:t xml:space="preserve"> </w:t>
      </w:r>
      <w:r>
        <w:t xml:space="preserve">Lall, S. (1992). Technological capabilities and industrialization.</w:t>
      </w:r>
      <w:r>
        <w:t xml:space="preserve"> </w:t>
      </w:r>
      <w:r>
        <w:rPr>
          <w:iCs/>
          <w:i/>
        </w:rPr>
        <w:t xml:space="preserve">World Development</w:t>
      </w:r>
      <w:r>
        <w:t xml:space="preserve">,</w:t>
      </w:r>
      <w:r>
        <w:t xml:space="preserve"> </w:t>
      </w:r>
      <w:r>
        <w:rPr>
          <w:iCs/>
          <w:i/>
        </w:rPr>
        <w:t xml:space="preserve">20</w:t>
      </w:r>
      <w:r>
        <w:t xml:space="preserve">(2), 165–186.</w:t>
      </w:r>
      <w:r>
        <w:t xml:space="preserve"> </w:t>
      </w:r>
      <w:hyperlink r:id="rId81">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w:t>
      </w:r>
      <w:r>
        <w:t xml:space="preserve">,</w:t>
      </w:r>
      <w:r>
        <w:t xml:space="preserve"> </w:t>
      </w:r>
      <w:r>
        <w:rPr>
          <w:iCs/>
          <w:i/>
        </w:rPr>
        <w:t xml:space="preserve">72</w:t>
      </w:r>
      <w:r>
        <w:t xml:space="preserve">(1), 109–118.</w:t>
      </w:r>
      <w:r>
        <w:t xml:space="preserve"> </w:t>
      </w:r>
      <w:hyperlink r:id="rId82">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w:t>
      </w:r>
      <w:r>
        <w:t xml:space="preserve">,</w:t>
      </w:r>
      <w:r>
        <w:t xml:space="preserve"> </w:t>
      </w:r>
      <w:r>
        <w:rPr>
          <w:iCs/>
          <w:i/>
        </w:rPr>
        <w:t xml:space="preserve">47</w:t>
      </w:r>
      <w:r>
        <w:t xml:space="preserve">(4), 598–609.</w:t>
      </w:r>
      <w:r>
        <w:t xml:space="preserve"> </w:t>
      </w:r>
      <w:hyperlink r:id="rId83">
        <w:r>
          <w:rPr>
            <w:rStyle w:val="Hyperlink"/>
          </w:rPr>
          <w:t xml:space="preserve">https://doi.org/10.5465/20159604</w:t>
        </w:r>
      </w:hyperlink>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w:t>
      </w:r>
      <w:r>
        <w:t xml:space="preserve">,</w:t>
      </w:r>
      <w:r>
        <w:t xml:space="preserve"> </w:t>
      </w:r>
      <w:r>
        <w:rPr>
          <w:iCs/>
          <w:i/>
        </w:rPr>
        <w:t xml:space="preserve">29</w:t>
      </w:r>
      <w:r>
        <w:t xml:space="preserve">(3), 305–325.</w:t>
      </w:r>
      <w:r>
        <w:t xml:space="preserve"> </w:t>
      </w:r>
      <w:hyperlink r:id="rId84">
        <w:r>
          <w:rPr>
            <w:rStyle w:val="Hyperlink"/>
          </w:rPr>
          <w:t xml:space="preserve">https://doi.org/10.1016/0304-4076(85)90158-7</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w:t>
      </w:r>
      <w:r>
        <w:t xml:space="preserve">,</w:t>
      </w:r>
      <w:r>
        <w:t xml:space="preserve"> </w:t>
      </w:r>
      <w:r>
        <w:rPr>
          <w:iCs/>
          <w:i/>
        </w:rPr>
        <w:t xml:space="preserve">42</w:t>
      </w:r>
      <w:r>
        <w:t xml:space="preserve">(5), 1075–1110.</w:t>
      </w:r>
      <w:r>
        <w:t xml:space="preserve"> </w:t>
      </w:r>
      <w:hyperlink r:id="rId85">
        <w:r>
          <w:rPr>
            <w:rStyle w:val="Hyperlink"/>
          </w:rPr>
          <w:t xml:space="preserve">https://doi.org/10.1177/0149206315624963</w:t>
        </w:r>
      </w:hyperlink>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w:t>
      </w:r>
      <w:r>
        <w:t xml:space="preserve">,</w:t>
      </w:r>
      <w:r>
        <w:t xml:space="preserve"> </w:t>
      </w:r>
      <w:r>
        <w:rPr>
          <w:iCs/>
          <w:i/>
        </w:rPr>
        <w:t xml:space="preserve">48</w:t>
      </w:r>
      <w:r>
        <w:t xml:space="preserve">(5), 535–551.</w:t>
      </w:r>
      <w:r>
        <w:t xml:space="preserve"> </w:t>
      </w:r>
      <w:hyperlink r:id="rId86">
        <w:r>
          <w:rPr>
            <w:rStyle w:val="Hyperlink"/>
          </w:rPr>
          <w:t xml:space="preserve">https://doi.org/10.1057/s41267-017-0078-8</w:t>
        </w:r>
      </w:hyperlink>
      <w:r>
        <w:t xml:space="preserve"> </w:t>
      </w:r>
      <w:r>
        <w:t xml:space="preserve">O’Brien, R. M. (2007). A caution regarding rules of thumb for variance inflation factors.</w:t>
      </w:r>
      <w:r>
        <w:t xml:space="preserve"> </w:t>
      </w:r>
      <w:r>
        <w:rPr>
          <w:iCs/>
          <w:i/>
        </w:rPr>
        <w:t xml:space="preserve">Quality &amp; Quantity</w:t>
      </w:r>
      <w:r>
        <w:t xml:space="preserve">,</w:t>
      </w:r>
      <w:r>
        <w:t xml:space="preserve"> </w:t>
      </w:r>
      <w:r>
        <w:rPr>
          <w:iCs/>
          <w:i/>
        </w:rPr>
        <w:t xml:space="preserve">41</w:t>
      </w:r>
      <w:r>
        <w:t xml:space="preserve">(5), 673–690.</w:t>
      </w:r>
      <w:r>
        <w:t xml:space="preserve"> </w:t>
      </w:r>
      <w:hyperlink r:id="rId87">
        <w:r>
          <w:rPr>
            <w:rStyle w:val="Hyperlink"/>
          </w:rPr>
          <w:t xml:space="preserve">https://doi.org/10.1007/s11135-006-9018-6</w:t>
        </w:r>
      </w:hyperlink>
      <w:r>
        <w:t xml:space="preserve"> </w:t>
      </w:r>
      <w:r>
        <w:t xml:space="preserve">Peng, M. W. (2003). Institutional transitions and strategic choices.</w:t>
      </w:r>
      <w:r>
        <w:t xml:space="preserve"> </w:t>
      </w:r>
      <w:r>
        <w:rPr>
          <w:iCs/>
          <w:i/>
        </w:rPr>
        <w:t xml:space="preserve">Academy of Management Review</w:t>
      </w:r>
      <w:r>
        <w:t xml:space="preserve">,</w:t>
      </w:r>
      <w:r>
        <w:t xml:space="preserve"> </w:t>
      </w:r>
      <w:r>
        <w:rPr>
          <w:iCs/>
          <w:i/>
        </w:rPr>
        <w:t xml:space="preserve">28</w:t>
      </w:r>
      <w:r>
        <w:t xml:space="preserve">(2), 275–296.</w:t>
      </w:r>
      <w:r>
        <w:t xml:space="preserve"> </w:t>
      </w:r>
      <w:hyperlink r:id="rId88">
        <w:r>
          <w:rPr>
            <w:rStyle w:val="Hyperlink"/>
          </w:rPr>
          <w:t xml:space="preserve">https://doi.org/10.5465/amr.2003.9416341</w:t>
        </w:r>
      </w:hyperlink>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w:t>
      </w:r>
      <w:r>
        <w:t xml:space="preserve">,</w:t>
      </w:r>
      <w:r>
        <w:t xml:space="preserve"> </w:t>
      </w:r>
      <w:r>
        <w:rPr>
          <w:iCs/>
          <w:i/>
        </w:rPr>
        <w:t xml:space="preserve">39</w:t>
      </w:r>
      <w:r>
        <w:t xml:space="preserve">(5), 920–936.</w:t>
      </w:r>
      <w:r>
        <w:t xml:space="preserve"> </w:t>
      </w:r>
      <w:hyperlink r:id="rId89">
        <w:r>
          <w:rPr>
            <w:rStyle w:val="Hyperlink"/>
          </w:rPr>
          <w:t xml:space="preserve">https://doi.org/10.1057/palgrave.jibs.8400377</w:t>
        </w:r>
      </w:hyperlink>
      <w:r>
        <w:t xml:space="preserve"> </w:t>
      </w:r>
      <w:r>
        <w:t xml:space="preserve">Rugman, A. M., &amp; Verbeke, A. (2004). A perspective on regional and global strategies of multinational enterprises.</w:t>
      </w:r>
      <w:r>
        <w:t xml:space="preserve"> </w:t>
      </w:r>
      <w:r>
        <w:rPr>
          <w:iCs/>
          <w:i/>
        </w:rPr>
        <w:t xml:space="preserve">Journal of International Business Studies</w:t>
      </w:r>
      <w:r>
        <w:t xml:space="preserve">,</w:t>
      </w:r>
      <w:r>
        <w:t xml:space="preserve"> </w:t>
      </w:r>
      <w:r>
        <w:rPr>
          <w:iCs/>
          <w:i/>
        </w:rPr>
        <w:t xml:space="preserve">35</w:t>
      </w:r>
      <w:r>
        <w:t xml:space="preserve">(1), 3–18.</w:t>
      </w:r>
      <w:r>
        <w:t xml:space="preserve"> </w:t>
      </w:r>
      <w:hyperlink r:id="rId90">
        <w:r>
          <w:rPr>
            <w:rStyle w:val="Hyperlink"/>
          </w:rPr>
          <w:t xml:space="preserve">https://doi.org/10.1057/palgrave.jibs.8400073</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w:t>
      </w:r>
      <w:r>
        <w:t xml:space="preserve">,</w:t>
      </w:r>
      <w:r>
        <w:t xml:space="preserve"> </w:t>
      </w:r>
      <w:r>
        <w:rPr>
          <w:iCs/>
          <w:i/>
        </w:rPr>
        <w:t xml:space="preserve">46</w:t>
      </w:r>
      <w:r>
        <w:t xml:space="preserve">(6), 1244–1256.</w:t>
      </w:r>
      <w:r>
        <w:t xml:space="preserve"> </w:t>
      </w:r>
      <w:hyperlink r:id="rId91">
        <w:r>
          <w:rPr>
            <w:rStyle w:val="Hyperlink"/>
          </w:rPr>
          <w:t xml:space="preserve">https://doi.org/10.1177/0149206319846272</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w:t>
      </w:r>
      <w:r>
        <w:t xml:space="preserve">,</w:t>
      </w:r>
      <w:r>
        <w:t xml:space="preserve"> </w:t>
      </w:r>
      <w:r>
        <w:rPr>
          <w:iCs/>
          <w:i/>
        </w:rPr>
        <w:t xml:space="preserve">11</w:t>
      </w:r>
      <w:r>
        <w:t xml:space="preserve">(1), 58–80.</w:t>
      </w:r>
      <w:r>
        <w:t xml:space="preserve"> </w:t>
      </w:r>
      <w:hyperlink r:id="rId92">
        <w:r>
          <w:rPr>
            <w:rStyle w:val="Hyperlink"/>
          </w:rPr>
          <w:t xml:space="preserve">https://doi.org/10.1002/gsj.1336</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w:t>
      </w:r>
      <w:r>
        <w:t xml:space="preserve"> </w:t>
      </w:r>
      <w:r>
        <w:rPr>
          <w:iCs/>
          <w:i/>
        </w:rPr>
        <w:t xml:space="preserve">122</w:t>
      </w:r>
      <w:r>
        <w:t xml:space="preserve">, 889–901.</w:t>
      </w:r>
      <w:r>
        <w:t xml:space="preserve"> </w:t>
      </w:r>
      <w:hyperlink r:id="rId93">
        <w:r>
          <w:rPr>
            <w:rStyle w:val="Hyperlink"/>
          </w:rPr>
          <w:t xml:space="preserve">https://doi.org/10.1016/j.jbusres.2019.09.022</w:t>
        </w:r>
      </w:hyperlink>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w:t>
      </w:r>
      <w:r>
        <w:t xml:space="preserve">,</w:t>
      </w:r>
      <w:r>
        <w:t xml:space="preserve"> </w:t>
      </w:r>
      <w:r>
        <w:rPr>
          <w:iCs/>
          <w:i/>
        </w:rPr>
        <w:t xml:space="preserve">40</w:t>
      </w:r>
      <w:r>
        <w:t xml:space="preserve">(3), 432–462.</w:t>
      </w:r>
      <w:r>
        <w:t xml:space="preserve"> </w:t>
      </w:r>
      <w:hyperlink r:id="rId94">
        <w:r>
          <w:rPr>
            <w:rStyle w:val="Hyperlink"/>
          </w:rPr>
          <w:t xml:space="preserve">https://doi.org/10.1002/smj.2995</w:t>
        </w:r>
      </w:hyperlink>
      <w:r>
        <w:t xml:space="preserve"> </w:t>
      </w:r>
      <w:r>
        <w:t xml:space="preserve">Williamson, O. E. (1985).</w:t>
      </w:r>
      <w:r>
        <w:t xml:space="preserve"> </w:t>
      </w:r>
      <w:r>
        <w:rPr>
          <w:iCs/>
          <w:i/>
        </w:rPr>
        <w:t xml:space="preserve">The economic institutions of capitalism: Firms, markets, relational contracting</w:t>
      </w:r>
      <w:r>
        <w:t xml:space="preserve">. Free Press.</w:t>
      </w:r>
      <w:r>
        <w:t xml:space="preserve"> </w:t>
      </w:r>
      <w:r>
        <w:t xml:space="preserve">World Bank. (2024).</w:t>
      </w:r>
      <w:r>
        <w:t xml:space="preserve"> </w:t>
      </w:r>
      <w:r>
        <w:rPr>
          <w:iCs/>
          <w:i/>
        </w:rPr>
        <w:t xml:space="preserve">World Bank Enterprise Survey: Singapore 2023</w:t>
      </w:r>
      <w:r>
        <w:t xml:space="preserve">.</w:t>
      </w:r>
      <w:r>
        <w:t xml:space="preserve"> </w:t>
      </w:r>
      <w:hyperlink r:id="rId63">
        <w:r>
          <w:rPr>
            <w:rStyle w:val="Hyperlink"/>
          </w:rPr>
          <w:t xml:space="preserve">https://www.enterprisesurveys.org</w:t>
        </w:r>
      </w:hyperlink>
    </w:p>
    <w:bookmarkEnd w:id="95"/>
    <w:bookmarkEnd w:id="9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92" Target="https://doi.org/10.1002/gsj.1336" TargetMode="External" /><Relationship Type="http://schemas.openxmlformats.org/officeDocument/2006/relationships/hyperlink" Id="rId77" Target="https://doi.org/10.1002/smj.2399" TargetMode="External" /><Relationship Type="http://schemas.openxmlformats.org/officeDocument/2006/relationships/hyperlink" Id="rId94" Target="https://doi.org/10.1002/smj.2995" TargetMode="External" /><Relationship Type="http://schemas.openxmlformats.org/officeDocument/2006/relationships/hyperlink" Id="rId87" Target="https://doi.org/10.1007/s11135-006-9018-6" TargetMode="External" /><Relationship Type="http://schemas.openxmlformats.org/officeDocument/2006/relationships/hyperlink" Id="rId84" Target="https://doi.org/10.1016/0304-4076(85)90158-7" TargetMode="External" /><Relationship Type="http://schemas.openxmlformats.org/officeDocument/2006/relationships/hyperlink" Id="rId81" Target="https://doi.org/10.1016/0305-750X(92)90097-F" TargetMode="External" /><Relationship Type="http://schemas.openxmlformats.org/officeDocument/2006/relationships/hyperlink" Id="rId80" Target="https://doi.org/10.1016/j.ibusrev.2017.07.003" TargetMode="External" /><Relationship Type="http://schemas.openxmlformats.org/officeDocument/2006/relationships/hyperlink" Id="rId75" Target="https://doi.org/10.1016/j.jbusres.2008.01.013" TargetMode="External" /><Relationship Type="http://schemas.openxmlformats.org/officeDocument/2006/relationships/hyperlink" Id="rId93" Target="https://doi.org/10.1016/j.jbusres.2019.09.022" TargetMode="External" /><Relationship Type="http://schemas.openxmlformats.org/officeDocument/2006/relationships/hyperlink" Id="rId67" Target="https://doi.org/10.1016/j.leaqua.2010.10.010" TargetMode="External" /><Relationship Type="http://schemas.openxmlformats.org/officeDocument/2006/relationships/hyperlink" Id="rId66" Target="https://doi.org/10.1037/0021-9010.90.1.94" TargetMode="External" /><Relationship Type="http://schemas.openxmlformats.org/officeDocument/2006/relationships/hyperlink" Id="rId76" Target="https://doi.org/10.1057/palgrave.jibs.8400003" TargetMode="External" /><Relationship Type="http://schemas.openxmlformats.org/officeDocument/2006/relationships/hyperlink" Id="rId90" Target="https://doi.org/10.1057/palgrave.jibs.8400073" TargetMode="External" /><Relationship Type="http://schemas.openxmlformats.org/officeDocument/2006/relationships/hyperlink" Id="rId89" Target="https://doi.org/10.1057/palgrave.jibs.8400377" TargetMode="External" /><Relationship Type="http://schemas.openxmlformats.org/officeDocument/2006/relationships/hyperlink" Id="rId86" Target="https://doi.org/10.1057/s41267-017-0078-8" TargetMode="External" /><Relationship Type="http://schemas.openxmlformats.org/officeDocument/2006/relationships/hyperlink" Id="rId69" Target="https://doi.org/10.1057/s41267-019-00243-7" TargetMode="External" /><Relationship Type="http://schemas.openxmlformats.org/officeDocument/2006/relationships/hyperlink" Id="rId68" Target="https://doi.org/10.1057/s41287-020-00328-2" TargetMode="External" /><Relationship Type="http://schemas.openxmlformats.org/officeDocument/2006/relationships/hyperlink" Id="rId82" Target="https://doi.org/10.1111/j.1468-0084.2009.00569.x" TargetMode="External" /><Relationship Type="http://schemas.openxmlformats.org/officeDocument/2006/relationships/hyperlink" Id="rId74" Target="https://doi.org/10.1111/j.1468-0335.1937.tb00002.x" TargetMode="External" /><Relationship Type="http://schemas.openxmlformats.org/officeDocument/2006/relationships/hyperlink" Id="rId85" Target="https://doi.org/10.1177/0149206315624963" TargetMode="External" /><Relationship Type="http://schemas.openxmlformats.org/officeDocument/2006/relationships/hyperlink" Id="rId91" Target="https://doi.org/10.1177/0149206319846272" TargetMode="External" /><Relationship Type="http://schemas.openxmlformats.org/officeDocument/2006/relationships/hyperlink" Id="rId70" Target="https://doi.org/10.1177/014920639101700108" TargetMode="External" /><Relationship Type="http://schemas.openxmlformats.org/officeDocument/2006/relationships/hyperlink" Id="rId72" Target="https://doi.org/10.1257/mac.20180386" TargetMode="External" /><Relationship Type="http://schemas.openxmlformats.org/officeDocument/2006/relationships/hyperlink" Id="rId73"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83" Target="https://doi.org/10.5465/20159604" TargetMode="External" /><Relationship Type="http://schemas.openxmlformats.org/officeDocument/2006/relationships/hyperlink" Id="rId79" Target="https://doi.org/10.5465/256948" TargetMode="External" /><Relationship Type="http://schemas.openxmlformats.org/officeDocument/2006/relationships/hyperlink" Id="rId78" Target="https://doi.org/10.5465/amr.1984.4277628" TargetMode="External" /><Relationship Type="http://schemas.openxmlformats.org/officeDocument/2006/relationships/hyperlink" Id="rId88" Target="https://doi.org/10.5465/amr.2003.9416341" TargetMode="External" /><Relationship Type="http://schemas.openxmlformats.org/officeDocument/2006/relationships/hyperlink" Id="rId63"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92" Target="https://doi.org/10.1002/gsj.1336" TargetMode="External" /><Relationship Type="http://schemas.openxmlformats.org/officeDocument/2006/relationships/hyperlink" Id="rId77" Target="https://doi.org/10.1002/smj.2399" TargetMode="External" /><Relationship Type="http://schemas.openxmlformats.org/officeDocument/2006/relationships/hyperlink" Id="rId94" Target="https://doi.org/10.1002/smj.2995" TargetMode="External" /><Relationship Type="http://schemas.openxmlformats.org/officeDocument/2006/relationships/hyperlink" Id="rId87" Target="https://doi.org/10.1007/s11135-006-9018-6" TargetMode="External" /><Relationship Type="http://schemas.openxmlformats.org/officeDocument/2006/relationships/hyperlink" Id="rId84" Target="https://doi.org/10.1016/0304-4076(85)90158-7" TargetMode="External" /><Relationship Type="http://schemas.openxmlformats.org/officeDocument/2006/relationships/hyperlink" Id="rId81" Target="https://doi.org/10.1016/0305-750X(92)90097-F" TargetMode="External" /><Relationship Type="http://schemas.openxmlformats.org/officeDocument/2006/relationships/hyperlink" Id="rId80" Target="https://doi.org/10.1016/j.ibusrev.2017.07.003" TargetMode="External" /><Relationship Type="http://schemas.openxmlformats.org/officeDocument/2006/relationships/hyperlink" Id="rId75" Target="https://doi.org/10.1016/j.jbusres.2008.01.013" TargetMode="External" /><Relationship Type="http://schemas.openxmlformats.org/officeDocument/2006/relationships/hyperlink" Id="rId93" Target="https://doi.org/10.1016/j.jbusres.2019.09.022" TargetMode="External" /><Relationship Type="http://schemas.openxmlformats.org/officeDocument/2006/relationships/hyperlink" Id="rId67" Target="https://doi.org/10.1016/j.leaqua.2010.10.010" TargetMode="External" /><Relationship Type="http://schemas.openxmlformats.org/officeDocument/2006/relationships/hyperlink" Id="rId66" Target="https://doi.org/10.1037/0021-9010.90.1.94" TargetMode="External" /><Relationship Type="http://schemas.openxmlformats.org/officeDocument/2006/relationships/hyperlink" Id="rId76" Target="https://doi.org/10.1057/palgrave.jibs.8400003" TargetMode="External" /><Relationship Type="http://schemas.openxmlformats.org/officeDocument/2006/relationships/hyperlink" Id="rId90" Target="https://doi.org/10.1057/palgrave.jibs.8400073" TargetMode="External" /><Relationship Type="http://schemas.openxmlformats.org/officeDocument/2006/relationships/hyperlink" Id="rId89" Target="https://doi.org/10.1057/palgrave.jibs.8400377" TargetMode="External" /><Relationship Type="http://schemas.openxmlformats.org/officeDocument/2006/relationships/hyperlink" Id="rId86" Target="https://doi.org/10.1057/s41267-017-0078-8" TargetMode="External" /><Relationship Type="http://schemas.openxmlformats.org/officeDocument/2006/relationships/hyperlink" Id="rId69" Target="https://doi.org/10.1057/s41267-019-00243-7" TargetMode="External" /><Relationship Type="http://schemas.openxmlformats.org/officeDocument/2006/relationships/hyperlink" Id="rId68" Target="https://doi.org/10.1057/s41287-020-00328-2" TargetMode="External" /><Relationship Type="http://schemas.openxmlformats.org/officeDocument/2006/relationships/hyperlink" Id="rId82" Target="https://doi.org/10.1111/j.1468-0084.2009.00569.x" TargetMode="External" /><Relationship Type="http://schemas.openxmlformats.org/officeDocument/2006/relationships/hyperlink" Id="rId74" Target="https://doi.org/10.1111/j.1468-0335.1937.tb00002.x" TargetMode="External" /><Relationship Type="http://schemas.openxmlformats.org/officeDocument/2006/relationships/hyperlink" Id="rId85" Target="https://doi.org/10.1177/0149206315624963" TargetMode="External" /><Relationship Type="http://schemas.openxmlformats.org/officeDocument/2006/relationships/hyperlink" Id="rId91" Target="https://doi.org/10.1177/0149206319846272" TargetMode="External" /><Relationship Type="http://schemas.openxmlformats.org/officeDocument/2006/relationships/hyperlink" Id="rId70" Target="https://doi.org/10.1177/014920639101700108" TargetMode="External" /><Relationship Type="http://schemas.openxmlformats.org/officeDocument/2006/relationships/hyperlink" Id="rId72" Target="https://doi.org/10.1257/mac.20180386" TargetMode="External" /><Relationship Type="http://schemas.openxmlformats.org/officeDocument/2006/relationships/hyperlink" Id="rId73"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83" Target="https://doi.org/10.5465/20159604" TargetMode="External" /><Relationship Type="http://schemas.openxmlformats.org/officeDocument/2006/relationships/hyperlink" Id="rId79" Target="https://doi.org/10.5465/256948" TargetMode="External" /><Relationship Type="http://schemas.openxmlformats.org/officeDocument/2006/relationships/hyperlink" Id="rId78" Target="https://doi.org/10.5465/amr.1984.4277628" TargetMode="External" /><Relationship Type="http://schemas.openxmlformats.org/officeDocument/2006/relationships/hyperlink" Id="rId88" Target="https://doi.org/10.5465/amr.2003.9416341" TargetMode="External" /><Relationship Type="http://schemas.openxmlformats.org/officeDocument/2006/relationships/hyperlink" Id="rId63"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2026-06-01T00:21:50Z</dcterms:created>
  <dcterms:modified xsi:type="dcterms:W3CDTF">2026-06-01T00:21:50Z</dcterms:modified>
</cp:coreProperties>
</file>

<file path=docProps/custom.xml><?xml version="1.0" encoding="utf-8"?>
<Properties xmlns="http://schemas.openxmlformats.org/officeDocument/2006/custom-properties" xmlns:vt="http://schemas.openxmlformats.org/officeDocument/2006/docPropsVTypes"/>
</file>