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IJOEM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Cross-wave Paternoster (1998) z-tests do not reject equality of the linear and squared export-intensity coefficients (FSTS z = +0.82, p = .412;</w:t>
      </w:r>
      <w:r>
        <w:t xml:space="preserve"> </w:t>
      </w:r>
      <m:oMath>
        <m:sSup>
          <m:e>
            <m:r>
              <m:rPr>
                <m:nor/>
                <m:sty m:val="p"/>
              </m:rPr>
              <m:t>FSTS</m:t>
            </m:r>
          </m:e>
          <m:sup>
            <m:r>
              <m:t>2</m:t>
            </m:r>
          </m:sup>
        </m:sSup>
      </m:oMath>
      <w:r>
        <w:t xml:space="preserve"> </w:t>
      </w:r>
      <w:r>
        <w:t xml:space="preserve">z = −0.61, p = .545), and the pooled joint F-test on wave interactions is non-significant (F(2, 3,558) = 2.24, p = .107). Estimated turning points remain in a tight range, 49.4% of sales in 2012, 47.2% in 2024 and 48.8% pooled, with overlapping confidence intervals. Technological capability is robustly productivity-enhancing in both waves (</w:t>
      </w:r>
      <m:oMath>
        <m:r>
          <m:t>β</m:t>
        </m:r>
      </m:oMath>
      <w:r>
        <w:t xml:space="preserve">_z = +0.28 and +0.43; both p &lt; .001), and a website proxy is positive in 2024 and pooled, but neither construct robustly moderates curvature (capability</w:t>
      </w:r>
      <m:oMath>
        <m:r>
          <m:rPr>
            <m:sty m:val="p"/>
          </m:rPr>
          <m:t>×</m:t>
        </m:r>
      </m:oMath>
      <w:r>
        <w:t xml:space="preserve">curvature F = 3.26, p = .039 marginal; three-way capability</w:t>
      </w:r>
      <m:oMath>
        <m:r>
          <m:rPr>
            <m:sty m:val="p"/>
          </m:rPr>
          <m:t>×</m:t>
        </m:r>
      </m:oMath>
      <w:r>
        <w:t xml:space="preserve">wave</w:t>
      </w:r>
      <m:oMath>
        <m:r>
          <m:rPr>
            <m:sty m:val="p"/>
          </m:rPr>
          <m:t>×</m:t>
        </m:r>
      </m:oMath>
      <w:r>
        <w:t xml:space="preserve">curvature F = 0.27, p = .760).</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the Chinese I–P trade-off is durably structural rather than wave-specific, recasting the inverted-U threshold as a survival constant, with global-value-chain over-embeddedness as the candidate mechanism.</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w:t>
      </w:r>
      <m:oMath>
        <m:r>
          <m:t>β</m:t>
        </m:r>
      </m:oMath>
      <w:r>
        <w:t xml:space="preserve">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w:t>
      </w:r>
      <m:oMath>
        <m:r>
          <m:t>β</m:t>
        </m:r>
      </m:oMath>
      <w:r>
        <w:t xml:space="preserve">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longest-standing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 "too‑much‑of‑a‑good‑thing" 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w:t>
      </w:r>
      <w:r>
        <w:t xml:space="preserve"> </w:t>
      </w:r>
      <m:oMath>
        <m:r>
          <m:rPr>
            <m:sty m:val="p"/>
          </m:rPr>
          <m:t>≈</m:t>
        </m:r>
      </m:oMath>
      <w:r>
        <w:t xml:space="preserve"> </w:t>
      </w:r>
      <w:r>
        <w:t xml:space="preserve">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(FSTS</w:t>
      </w:r>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and (FSTS</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w:t>
      </w:r>
      <m:oMath>
        <m:r>
          <m:rPr>
            <m:sty m:val="p"/>
          </m:rPr>
          <m:t>×</m:t>
        </m:r>
      </m:oMath>
      <w:r>
        <w:t xml:space="preserve">curvature, capability</w:t>
      </w:r>
      <m:oMath>
        <m:r>
          <m:rPr>
            <m:sty m:val="p"/>
          </m:rPr>
          <m:t>×</m:t>
        </m:r>
      </m:oMath>
      <w:r>
        <w:t xml:space="preserve">wave</w:t>
      </w:r>
      <m:oMath>
        <m:r>
          <m:rPr>
            <m:sty m:val="p"/>
          </m:rPr>
          <m:t>×</m:t>
        </m:r>
      </m:oMath>
      <w:r>
        <w:t xml:space="preserve">curvature, working capital</w:t>
      </w:r>
      <m:oMath>
        <m:r>
          <m:rPr>
            <m:sty m:val="p"/>
          </m:rPr>
          <m:t>×</m:t>
        </m:r>
      </m:oMath>
      <w:r>
        <w:t xml:space="preserve">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 stable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w:t>
      </w:r>
      <w:r>
        <w:t xml:space="preserve"> </w:t>
      </w:r>
      <m:oMath>
        <m:sSub>
          <m:e>
            <m:r>
              <m:t>β</m:t>
            </m:r>
          </m:e>
          <m:sub>
            <m:r>
              <m:t>2</m:t>
            </m:r>
          </m:sub>
        </m:sSub>
      </m:oMath>
      <w:r>
        <w:t xml:space="preserve"> </w:t>
      </w:r>
      <w:r>
        <w:t xml:space="preserve">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w:t>
      </w:r>
      <m:oMath>
        <m:r>
          <m:rPr>
            <m:sty m:val="p"/>
          </m:rPr>
          <m:t>×</m:t>
        </m:r>
      </m:oMath>
      <w:r>
        <w:t xml:space="preser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w:t>
      </w:r>
      <w:r>
        <w:t xml:space="preserve"> </w:t>
      </w:r>
      <m:oMath>
        <m:r>
          <m:rPr>
            <m:sty m:val="p"/>
          </m:rPr>
          <m:t>≈</m:t>
        </m:r>
      </m:oMath>
      <w:r>
        <w:t xml:space="preserve"> </w:t>
      </w:r>
      <w:r>
        <w:t xml:space="preserve">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w:t>
      </w:r>
      <w:r>
        <w:t xml:space="preserve"> </w:t>
      </w:r>
      <m:oMath>
        <m:r>
          <m:rPr>
            <m:sty m:val="p"/>
          </m:rPr>
          <m:t>≥</m:t>
        </m:r>
      </m:oMath>
      <w:r>
        <w:t xml:space="preserve"> </w:t>
      </w:r>
      <w:r>
        <w:t xml:space="preserve">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 not know" and -7 for refusal in many items; the 2024 release additionally separates -8 for refusal from -9 for "do not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w:t>
      </w:r>
      <m:oMath>
        <m:r>
          <m:t>β</m:t>
        </m:r>
      </m:oMath>
      <w:r>
        <w:t xml:space="preserve">_A −</w:t>
      </w:r>
      <w:r>
        <w:t xml:space="preserve"> </w:t>
      </w:r>
      <m:oMath>
        <m:r>
          <m:t>β</m:t>
        </m:r>
      </m:oMath>
      <w:r>
        <w:t xml:space="preserve">_B) / √(SE_A² + SE_B²), with two‑sided p‑values from the standard normal distribution; the Paternoster z-test on individual coefficients is complemented by joint F-tests on the two-coefficient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w:t>
      </w:r>
      <m:oMath>
        <m:r>
          <m:rPr>
            <m:sty m:val="p"/>
          </m:rPr>
          <m:t>≥</m:t>
        </m:r>
      </m:oMath>
      <w:r>
        <w:t xml:space="preserve">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w:t>
            </w:r>
            <m:oMath>
              <m:r>
                <m:rPr>
                  <m:sty m:val="p"/>
                </m:rPr>
                <m:t>≥</m:t>
              </m:r>
            </m:oMath>
            <w:r>
              <w:t xml:space="preserve"> </w:t>
            </w:r>
            <w:r>
              <w:t xml:space="preserve">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w:t>
      </w:r>
      <w:r>
        <w:t xml:space="preserve"> </w:t>
      </w:r>
      <m:oMath>
        <m:r>
          <m:rPr>
            <m:sty m:val="p"/>
          </m:rPr>
          <m:t>≈</m:t>
        </m:r>
      </m:oMath>
      <w:r>
        <w:t xml:space="preserve"> </w:t>
      </w:r>
      <w:r>
        <w:t xml:space="preserve">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w:t>
      </w:r>
      <m:oMath>
        <m:r>
          <m:t>β</m:t>
        </m:r>
      </m:oMath>
      <w:r>
        <w:t xml:space="preserve"> </w:t>
      </w:r>
      <w:r>
        <w:t xml:space="preserve">= +2.07, p &lt; .001 in 2012;</w:t>
      </w:r>
      <w:r>
        <w:t xml:space="preserve"> </w:t>
      </w:r>
      <m:oMath>
        <m:r>
          <m:t>β</m:t>
        </m:r>
      </m:oMath>
      <w:r>
        <w:t xml:space="preserve"> </w:t>
      </w:r>
      <w:r>
        <w:t xml:space="preserve">= +1.50, p = .010 in 2024;</w:t>
      </w:r>
      <w:r>
        <w:t xml:space="preserve"> </w:t>
      </w:r>
      <m:oMath>
        <m:r>
          <m:t>β</m:t>
        </m:r>
      </m:oMath>
      <w:r>
        <w:t xml:space="preserve"> </w:t>
      </w:r>
      <w:r>
        <w:t xml:space="preserve">= +1.78, p &lt; .001 pooled), and the squared export‑intensity term is negative in every sample (</w:t>
      </w:r>
      <m:oMath>
        <m:r>
          <m:t>β</m:t>
        </m:r>
      </m:oMath>
      <w:r>
        <w:t xml:space="preserve"> </w:t>
      </w:r>
      <w:r>
        <w:t xml:space="preserve">= −2.09, p &lt; .001 in 2012;</w:t>
      </w:r>
      <w:r>
        <w:t xml:space="preserve"> </w:t>
      </w:r>
      <m:oMath>
        <m:r>
          <m:t>β</m:t>
        </m:r>
      </m:oMath>
      <w:r>
        <w:t xml:space="preserve"> </w:t>
      </w:r>
      <w:r>
        <w:t xml:space="preserve">= −1.59, p = .026 in 2024;</w:t>
      </w:r>
      <w:r>
        <w:t xml:space="preserve"> </w:t>
      </w:r>
      <m:oMath>
        <m:r>
          <m:t>β</m:t>
        </m:r>
      </m:oMath>
      <w:r>
        <w:t xml:space="preserve"> </w:t>
      </w:r>
      <w:r>
        <w:t xml:space="preserve">=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central to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w:t>
      </w:r>
      <w:r>
        <w:t xml:space="preserve"> </w:t>
      </w:r>
      <m:oMath>
        <m:r>
          <m:t>β</m:t>
        </m:r>
      </m:oMath>
      <w:r>
        <w:t xml:space="preserve">_z = +0.260 in 2012 (SE = 0.049, p &lt; .001),</w:t>
      </w:r>
      <w:r>
        <w:t xml:space="preserve"> </w:t>
      </w:r>
      <m:oMath>
        <m:r>
          <m:t>β</m:t>
        </m:r>
      </m:oMath>
      <w:r>
        <w:t xml:space="preserve">_z = +0.426 in 2024 (SE = 0.047, p &lt; .001), and</w:t>
      </w:r>
      <w:r>
        <w:t xml:space="preserve"> </w:t>
      </w:r>
      <m:oMath>
        <m:r>
          <m:t>β</m:t>
        </m:r>
      </m:oMath>
      <w:r>
        <w:t xml:space="preserve">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w:t>
      </w:r>
      <m:oMath>
        <m:r>
          <m:t>β</m:t>
        </m:r>
      </m:oMath>
      <w:r>
        <w:t xml:space="preserve">_z = +0.05 to +0.13, p</w:t>
      </w:r>
      <w:r>
        <w:t xml:space="preserve"> </w:t>
      </w:r>
      <m:oMath>
        <m:r>
          <m:rPr>
            <m:sty m:val="p"/>
          </m:rPr>
          <m:t>≤</m:t>
        </m:r>
      </m:oMath>
      <w:r>
        <w:t xml:space="preserve"> </w:t>
      </w:r>
      <w:r>
        <w:t xml:space="preserve">.03), consistent with its role as a baseline digital-presence control.</w:t>
      </w:r>
    </w:p>
    <w:p>
      <w:pPr>
        <w:pStyle w:val="BodyText"/>
      </w:pPr>
      <w:r>
        <w:t xml:space="preserve">The curvature‑moderation component of H4a is tested by adding</w:t>
      </w:r>
      <w:r>
        <w:t xml:space="preserve"> </w:t>
      </w:r>
      <m:oMath>
        <m:r>
          <m:rPr>
            <m:nor/>
            <m:sty m:val="p"/>
          </m:rPr>
          <m:t>TCI</m:t>
        </m:r>
        <m:r>
          <m:rPr>
            <m:sty m:val="p"/>
          </m:rPr>
          <m:t>×</m:t>
        </m:r>
        <m:r>
          <m:rPr>
            <m:nor/>
            <m:sty m:val="p"/>
          </m:rPr>
          <m:t>FSTS</m:t>
        </m:r>
      </m:oMath>
      <w:r>
        <w:t xml:space="preserve"> </w:t>
      </w:r>
      <w:r>
        <w:t xml:space="preserve">and TCI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w:t>
      </w:r>
      <m:oMath>
        <m:r>
          <m:rPr>
            <m:nor/>
            <m:sty m:val="p"/>
          </m:rPr>
          <m:t>TCI</m:t>
        </m:r>
        <m:r>
          <m:rPr>
            <m:sty m:val="p"/>
          </m:rPr>
          <m:t>×</m:t>
        </m:r>
        <m:r>
          <m:rPr>
            <m:nor/>
            <m:sty m:val="p"/>
          </m:rPr>
          <m:t>FSTS</m:t>
        </m:r>
      </m:oMath>
      <w:r>
        <w:t xml:space="preserve">, TCI</w:t>
      </w:r>
      <m:oMath>
        <m:r>
          <m:rPr>
            <m:sty m:val="p"/>
          </m:rPr>
          <m:t>×</m:t>
        </m:r>
      </m:oMath>
      <m:oMath>
        <m:sSup>
          <m:e>
            <m:r>
              <m:rPr>
                <m:sty m:val="p"/>
              </m:rPr>
              <m:t>F</m:t>
            </m:r>
            <m:r>
              <m:rPr>
                <m:sty m:val="p"/>
              </m:rPr>
              <m:t>S</m:t>
            </m:r>
            <m:r>
              <m:rPr>
                <m:sty m:val="p"/>
              </m:rPr>
              <m:t>T</m:t>
            </m:r>
            <m:r>
              <m:rPr>
                <m:sty m:val="p"/>
              </m:rPr>
              <m:t>S</m:t>
            </m:r>
          </m:e>
          <m:sup>
            <m:r>
              <m:t>2</m:t>
            </m:r>
          </m:sup>
        </m:sSup>
      </m:oMath>
      <w:r>
        <w:t xml:space="preserve">) yields F(2, 3,558) = 3.26, p = .039, but neither individual interaction coefficient is statistically distinguishable from zero (</w:t>
      </w:r>
      <m:oMath>
        <m:r>
          <m:rPr>
            <m:nor/>
            <m:sty m:val="p"/>
          </m:rPr>
          <m:t>TCI</m:t>
        </m:r>
        <m:r>
          <m:rPr>
            <m:sty m:val="p"/>
          </m:rPr>
          <m:t>×</m:t>
        </m:r>
        <m:r>
          <m:rPr>
            <m:nor/>
            <m:sty m:val="p"/>
          </m:rPr>
          <m:t>FSTS</m:t>
        </m:r>
      </m:oMath>
      <w:r>
        <w:t xml:space="preserve"> </w:t>
      </w:r>
      <m:oMath>
        <m:r>
          <m:t>β</m:t>
        </m:r>
      </m:oMath>
      <w:r>
        <w:t xml:space="preserve"> </w:t>
      </w:r>
      <w:r>
        <w:t xml:space="preserve">= −0.41, p = .443; TCI</w:t>
      </w:r>
      <m:oMath>
        <m:r>
          <m:rPr>
            <m:sty m:val="p"/>
          </m:rPr>
          <m:t>×</m:t>
        </m:r>
      </m:oMath>
      <m:oMath>
        <m:sSup>
          <m:e>
            <m:r>
              <m:rPr>
                <m:sty m:val="p"/>
              </m:rPr>
              <m:t>F</m:t>
            </m:r>
            <m:r>
              <m:rPr>
                <m:sty m:val="p"/>
              </m:rPr>
              <m:t>S</m:t>
            </m:r>
            <m:r>
              <m:rPr>
                <m:sty m:val="p"/>
              </m:rPr>
              <m:t>T</m:t>
            </m:r>
            <m:r>
              <m:rPr>
                <m:sty m:val="p"/>
              </m:rPr>
              <m:t>S</m:t>
            </m:r>
          </m:e>
          <m:sup>
            <m:r>
              <m:t>2</m:t>
            </m:r>
          </m:sup>
        </m:sSup>
      </m:oMath>
      <w:r>
        <w:t xml:space="preserve"> </w:t>
      </w:r>
      <m:oMath>
        <m:r>
          <m:t>β</m:t>
        </m:r>
      </m:oMath>
      <w:r>
        <w:t xml:space="preserve"> </w:t>
      </w:r>
      <w:r>
        <w:t xml:space="preserve">= +0.05, p = .934). Wave-by-wave moderator tests (Online Appendix C) show that no individual TCI or DAI interaction coefficient achieves p &lt; .05 in any wave‑specific specification.</w:t>
      </w:r>
      <w:r>
        <w:t xml:space="preserve"> </w:t>
      </w:r>
      <m:oMath>
        <m:r>
          <m:rPr>
            <m:nor/>
            <m:sty m:val="p"/>
          </m:rPr>
          <m:t>DAI</m:t>
        </m:r>
        <m:r>
          <m:rPr>
            <m:sty m:val="p"/>
          </m:rPr>
          <m:t>×</m:t>
        </m:r>
        <m:r>
          <m:rPr>
            <m:nor/>
            <m:sty m:val="p"/>
          </m:rPr>
          <m:t>FSTS</m:t>
        </m:r>
      </m:oMath>
      <w:r>
        <w:t xml:space="preserve"> </w:t>
      </w:r>
      <w:r>
        <w:t xml:space="preserve">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r>
          <m:rPr>
            <m:sty m:val="p"/>
          </m:rPr>
          <m:t>×</m:t>
        </m:r>
      </m:oMath>
      <m:oMath>
        <m:sSub>
          <m:e>
            <m:r>
              <m:t>D</m:t>
            </m:r>
          </m:e>
          <m:sub>
            <m:r>
              <m:t>2024</m:t>
            </m:r>
          </m:sub>
        </m:sSub>
      </m:oMath>
      <m:oMath>
        <m:r>
          <m:rPr>
            <m:sty m:val="p"/>
          </m:rPr>
          <m:t>×</m:t>
        </m:r>
      </m:oMath>
      <w:r>
        <w:t xml:space="preserve">TCI,</w:t>
      </w:r>
      <w:r>
        <w:t xml:space="preserve"> </w:t>
      </w:r>
      <m:oMath>
        <m:sSup>
          <m:e>
            <m:r>
              <m:rPr>
                <m:sty m:val="p"/>
              </m:rPr>
              <m:t>F</m:t>
            </m:r>
            <m:r>
              <m:rPr>
                <m:sty m:val="p"/>
              </m:rPr>
              <m:t>S</m:t>
            </m:r>
            <m:r>
              <m:rPr>
                <m:sty m:val="p"/>
              </m:rPr>
              <m:t>T</m:t>
            </m:r>
            <m:r>
              <m:rPr>
                <m:sty m:val="p"/>
              </m:rPr>
              <m:t>S</m:t>
            </m:r>
          </m:e>
          <m:sup>
            <m:r>
              <m:t>2</m:t>
            </m:r>
          </m:sup>
        </m:sSup>
      </m:oMath>
      <m:oMath>
        <m:r>
          <m:rPr>
            <m:sty m:val="p"/>
          </m:rPr>
          <m:t>×</m:t>
        </m:r>
      </m:oMath>
      <m:oMath>
        <m:sSub>
          <m:e>
            <m:r>
              <m:t>D</m:t>
            </m:r>
          </m:e>
          <m:sub>
            <m:r>
              <m:t>2024</m:t>
            </m:r>
          </m:sub>
        </m:sSub>
      </m:oMath>
      <m:oMath>
        <m:r>
          <m:rPr>
            <m:sty m:val="p"/>
          </m:rPr>
          <m:t>×</m:t>
        </m:r>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w:t>
      </w:r>
      <w:r>
        <w:t xml:space="preserve"> </w:t>
      </w:r>
      <m:oMath>
        <m:r>
          <m:rPr>
            <m:sty m:val="p"/>
          </m:rPr>
          <m:t>×</m:t>
        </m:r>
      </m:oMath>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w:t>
      </w:r>
      <m:oMath>
        <m:r>
          <m:t>β</m:t>
        </m:r>
      </m:oMath>
      <w:r>
        <w:t xml:space="preserve"> </w:t>
      </w:r>
      <w:r>
        <w:t xml:space="preserve">= +0.27, p = .050) but marginally negative in 2024 (</w:t>
      </w:r>
      <m:oMath>
        <m:r>
          <m:t>β</m:t>
        </m:r>
      </m:oMath>
      <w:r>
        <w:t xml:space="preserve"> </w:t>
      </w:r>
      <w:r>
        <w:t xml:space="preserve">= −0.38, p = .081). In Block C (Financing Structure),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w:t>
      </w:r>
      <m:oMath>
        <m:r>
          <m:t>β</m:t>
        </m:r>
      </m:oMath>
      <w:r>
        <w:t xml:space="preserve"> </w:t>
      </w:r>
      <w:r>
        <w:t xml:space="preserve">= −0.017, p = .009) but null in 2024 (p = .660). In Block D (Access‑to‑Finance Obstacle), the obstacle</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w:t>
      </w:r>
      <m:oMath>
        <m:r>
          <m:t>β</m:t>
        </m:r>
      </m:oMath>
      <w:r>
        <w:t xml:space="preserve"> </w:t>
      </w:r>
      <w:r>
        <w:t xml:space="preserve">=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across waves (Block A:</w:t>
      </w:r>
      <w:r>
        <w:t xml:space="preserve"> </w:t>
      </w:r>
      <m:oMath>
        <m:r>
          <m:t>β</m:t>
        </m:r>
      </m:oMath>
      <w:r>
        <w:t xml:space="preserve"> </w:t>
      </w:r>
      <w:r>
        <w:t xml:space="preserve">= +0.27 in 2012,</w:t>
      </w:r>
      <w:r>
        <w:t xml:space="preserve"> </w:t>
      </w:r>
      <m:oMath>
        <m:r>
          <m:t>β</m:t>
        </m:r>
      </m:oMath>
      <w:r>
        <w:t xml:space="preserve"> </w:t>
      </w:r>
      <w:r>
        <w:t xml:space="preserve">=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w:t>
      </w:r>
      <m:oMath>
        <m:r>
          <m:t>β</m:t>
        </m:r>
      </m:oMath>
      <w:r>
        <w:t xml:space="preserve">_z = +0.05 to +0.13, p</w:t>
      </w:r>
      <w:r>
        <w:t xml:space="preserve"> </w:t>
      </w:r>
      <m:oMath>
        <m:r>
          <m:rPr>
            <m:sty m:val="p"/>
          </m:rPr>
          <m:t>≤</m:t>
        </m:r>
      </m:oMath>
      <w:r>
        <w:t xml:space="preserve"> </w:t>
      </w:r>
      <w:r>
        <w:t xml:space="preserve">.03 across waves and pooled), but the</w:t>
      </w:r>
      <w:r>
        <w:t xml:space="preserve"> </w:t>
      </w:r>
      <m:oMath>
        <m:r>
          <m:rPr>
            <m:nor/>
            <m:sty m:val="p"/>
          </m:rPr>
          <m:t>DAI</m:t>
        </m:r>
        <m:r>
          <m:rPr>
            <m:sty m:val="p"/>
          </m:rPr>
          <m:t>×</m:t>
        </m:r>
        <m:r>
          <m:rPr>
            <m:nor/>
            <m:sty m:val="p"/>
          </m:rPr>
          <m:t>FSTS</m:t>
        </m:r>
      </m:oMath>
      <w:r>
        <w:t xml:space="preserve"> </w:t>
      </w:r>
      <w:r>
        <w:t xml:space="preserve">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w:t>
      </w:r>
      <m:oMath>
        <m:r>
          <m:rPr>
            <m:sty m:val="p"/>
          </m:rPr>
          <m:t>×</m:t>
        </m:r>
      </m:oMath>
      <w:r>
        <w:t xml:space="preserve">FSTS curvature F-test yields p = .89,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w:t>
      </w:r>
      <w:r>
        <w:t xml:space="preserve"> </w:t>
      </w:r>
      <m:oMath>
        <m:r>
          <m:rPr>
            <m:sty m:val="p"/>
          </m:rPr>
          <m:t>×</m:t>
        </m:r>
      </m:oMath>
      <w:r>
        <w:t xml:space="preserve"> </w:t>
      </w:r>
      <w:r>
        <w:t xml:space="preserve">FSTS</w:t>
      </w:r>
      <w:r>
        <w:t xml:space="preserve"> </w:t>
      </w:r>
      <m:oMath>
        <m:r>
          <m:t>β</m:t>
        </m:r>
      </m:oMath>
      <w:r>
        <w:t xml:space="preserve"> </w:t>
      </w:r>
      <w:r>
        <w:t xml:space="preserve">= 0.003, p = .892),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w:t>
      </w:r>
      <m:oMath>
        <m:r>
          <m:t>β</m:t>
        </m:r>
      </m:oMath>
      <w:r>
        <w:t xml:space="preserve"> </w:t>
      </w:r>
      <w:r>
        <w:t xml:space="preserve">= 0.015, p = .005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w:t>
      </w:r>
      <w:r>
        <w:t xml:space="preserve"> </w:t>
      </w:r>
      <m:oMath>
        <m:r>
          <m:rPr>
            <m:sty m:val="p"/>
          </m:rPr>
          <m:t>≈</m:t>
        </m:r>
      </m:oMath>
      <w:r>
        <w:t xml:space="preserve"> </w:t>
      </w:r>
      <w:r>
        <w:t xml:space="preserve">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w:t>
      </w:r>
      <m:oMath>
        <m:r>
          <m:t>β</m:t>
        </m:r>
      </m:oMath>
      <w:r>
        <w:t xml:space="preserve">_z = +0.26 to +0.43, p &lt; .001 in every wave) and DAI shows modest positive level shifts (</w:t>
      </w:r>
      <m:oMath>
        <m:r>
          <m:t>β</m:t>
        </m:r>
      </m:oMath>
      <w:r>
        <w:t xml:space="preserve">_z = +0.05 to +0.13, p</w:t>
      </w:r>
      <w:r>
        <w:t xml:space="preserve"> </w:t>
      </w:r>
      <m:oMath>
        <m:r>
          <m:rPr>
            <m:sty m:val="p"/>
          </m:rPr>
          <m:t>≤</m:t>
        </m:r>
      </m:oMath>
      <w:r>
        <w:t xml:space="preserve"> </w:t>
      </w:r>
      <w:r>
        <w:t xml:space="preserve">.03 across waves and pooled). But the curvature-moderation evidence is weak: the joint F-test on</w:t>
      </w:r>
      <w:r>
        <w:t xml:space="preserve"> </w:t>
      </w:r>
      <m:oMath>
        <m:r>
          <m:rPr>
            <m:nor/>
            <m:sty m:val="p"/>
          </m:rPr>
          <m:t>TCI</m:t>
        </m:r>
        <m:r>
          <m:rPr>
            <m:sty m:val="p"/>
          </m:rPr>
          <m:t>×</m:t>
        </m:r>
        <m:r>
          <m:rPr>
            <m:nor/>
            <m:sty m:val="p"/>
          </m:rPr>
          <m:t>FSTS</m:t>
        </m:r>
      </m:oMath>
      <w:r>
        <w:t xml:space="preserve"> </w:t>
      </w:r>
      <w:r>
        <w:t xml:space="preserve">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in 2012 (</w:t>
      </w:r>
      <m:oMath>
        <m:r>
          <m:t>β</m:t>
        </m:r>
      </m:oMath>
      <w:r>
        <w:t xml:space="preserve"> </w:t>
      </w:r>
      <w:r>
        <w:t xml:space="preserve">=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w:t>
      </w:r>
      <m:oMath>
        <m:sSup>
          <m:e>
            <m:r>
              <m:t>I</m:t>
            </m:r>
          </m:e>
          <m:sup>
            <m:r>
              <m:t>2</m:t>
            </m:r>
          </m:sup>
        </m:sSup>
      </m:oMath>
      <w:r>
        <w:t xml:space="preserve"> </w:t>
      </w:r>
      <m:oMath>
        <m:r>
          <m:rPr>
            <m:sty m:val="p"/>
          </m:rPr>
          <m:t>≈</m:t>
        </m:r>
      </m:oMath>
      <w:r>
        <w:t xml:space="preserve"> </w:t>
      </w:r>
      <w:r>
        <w:t xml:space="preserve">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 stable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seven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A seventh limitation concerns the harmonisation pipeline itself. All variable-construction and cross-wave harmonisation decisions reported in Section 3.2 (item-code mapping across PICS3, Standardised, and BREADY questionnaire generations; encoding fallbacks; ISIC sector recodes; private-ownership recodes; outlier-winsorisation thresholds) were made by the present author group; while these decisions are mechanically reproducible from the documented WBES item-code mappings provided in the replication package, no formal inter-coder reliability check (e.g., independent dual-coding with Cohen's kappa) on the harmonisation choices themselves has been performed. A future revision could engage an independent second coder to harmonise the same items from the raw WBES microdata and report inter-coder agreement; until such a check is completed, readers should regard the cross-wave harmonisation as auditable but not externally validated.</w:t>
      </w:r>
    </w:p>
    <w:p>
      <w:pPr>
        <w:pStyle w:val="BodyText"/>
      </w:pPr>
      <w:r>
        <w:t xml:space="preserve">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2026-06-01T00:21:50Z</dcterms:created>
  <dcterms:modified xsi:type="dcterms:W3CDTF">2026-06-01T00:21:50Z</dcterms:modified>
</cp:coreProperties>
</file>

<file path=docProps/custom.xml><?xml version="1.0" encoding="utf-8"?>
<Properties xmlns="http://schemas.openxmlformats.org/officeDocument/2006/custom-properties" xmlns:vt="http://schemas.openxmlformats.org/officeDocument/2006/docPropsVTypes"/>
</file>