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the question of whether it is non-linear; the remaining unresolved question is what determines where its performance-maximising optimum falls. We develop and test an integrated multi-level account in which the inverted-U is universal in form but jointly conditioned by a firm's institutional regime and digital capability: the regime governs the curve's amplitude and digital capability reshapes the curve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rPr>
          <w:bCs/>
          <w:b/>
        </w:rPr>
        <w:t xml:space="preserve">Companion-paper disclosure.</w:t>
      </w:r>
      <w:r>
        <w:t xml:space="preserve"> </w:t>
      </w:r>
      <w:r>
        <w:t xml:space="preserve">Throughout the paper we make repeated reference to "the companion Vietnam study," "the companion China study," and "the companion Singapore study." 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We flag the relationship rather than conceal it so that readers may interpret the cross-paper consistency claims with appropriate caution: the country comparators are drawn from our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 ***) and</w:t>
      </w:r>
      <w:r>
        <w:t xml:space="preserve"> </w:t>
      </w:r>
      <m:oMath>
        <m:sSup>
          <m:e>
            <m:r>
              <m:rPr>
                <m:nor/>
                <m:sty m:val="p"/>
              </m:rPr>
              <m:t>FSTS</m:t>
            </m:r>
          </m:e>
          <m:sup>
            <m:r>
              <m:t>2</m:t>
            </m:r>
          </m:sup>
        </m:sSup>
        <m:r>
          <m:rPr>
            <m:sty m:val="p"/>
          </m:rPr>
          <m:t>×</m:t>
        </m:r>
        <m:r>
          <m:rPr>
            <m:nor/>
            <m:sty m:val="p"/>
          </m:rPr>
          <m:t>DAI</m:t>
        </m:r>
      </m:oMath>
      <w:r>
        <w:t xml:space="preserve"> </w:t>
      </w:r>
      <w:r>
        <w:t xml:space="preserve">= +0.726 (p = .002, **). The interaction pattern, negative</w:t>
      </w:r>
      <w:r>
        <w:t xml:space="preserve"> </w:t>
      </w:r>
      <m:oMath>
        <m:r>
          <m:rPr>
            <m:nor/>
            <m:sty m:val="p"/>
          </m:rPr>
          <m:t>FSTS</m:t>
        </m:r>
        <m:r>
          <m:rPr>
            <m:sty m:val="p"/>
          </m:rPr>
          <m:t>×</m:t>
        </m:r>
        <m:r>
          <m:rPr>
            <m:nor/>
            <m:sty m:val="p"/>
          </m:rPr>
          <m:t>DAI</m:t>
        </m:r>
      </m:oMath>
      <w:r>
        <w:t xml:space="preserve"> </w:t>
      </w:r>
      <w:r>
        <w:t xml:space="preserve">and positive</w:t>
      </w:r>
      <w:r>
        <w:t xml:space="preserve"> </w:t>
      </w:r>
      <m:oMath>
        <m:sSup>
          <m:e>
            <m:r>
              <m:rPr>
                <m:nor/>
                <m:sty m:val="p"/>
              </m:rPr>
              <m:t>FSTS</m:t>
            </m:r>
          </m:e>
          <m:sup>
            <m:r>
              <m:t>2</m:t>
            </m:r>
          </m:sup>
        </m:sSup>
        <m:r>
          <m:rPr>
            <m:sty m:val="p"/>
          </m:rPr>
          <m:t>×</m:t>
        </m:r>
        <m:r>
          <m:rPr>
            <m:nor/>
            <m:sty m:val="p"/>
          </m:rPr>
          <m:t>DAI</m:t>
        </m:r>
      </m:oMath>
      <w: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t xml:space="preserve"> </w:t>
      </w:r>
      <m:oMath>
        <m:r>
          <m:rPr>
            <m:nor/>
            <m:sty m:val="p"/>
          </m:rPr>
          <m:t>FSTS</m:t>
        </m:r>
        <m:r>
          <m:rPr>
            <m:sty m:val="p"/>
          </m:rPr>
          <m:t>×</m:t>
        </m:r>
        <m:r>
          <m:rPr>
            <m:nor/>
            <m:sty m:val="p"/>
          </m:rPr>
          <m:t>DAI</m:t>
        </m:r>
      </m:oMath>
      <w:r>
        <w:t xml:space="preserve"> </w:t>
      </w:r>
      <w:r>
        <w:t xml:space="preserve">= −0.786 (p &lt; .001, ***) and</w:t>
      </w:r>
      <w:r>
        <w:t xml:space="preserve"> </w:t>
      </w:r>
      <m:oMath>
        <m:sSup>
          <m:e>
            <m:r>
              <m:rPr>
                <m:nor/>
                <m:sty m:val="p"/>
              </m:rPr>
              <m:t>FSTS</m:t>
            </m:r>
          </m:e>
          <m:sup>
            <m:r>
              <m:t>2</m:t>
            </m:r>
          </m:sup>
        </m:sSup>
        <m:r>
          <m:rPr>
            <m:sty m:val="p"/>
          </m:rPr>
          <m:t>×</m:t>
        </m:r>
        <m:r>
          <m:rPr>
            <m:nor/>
            <m:sty m:val="p"/>
          </m:rPr>
          <m:t>DAI</m:t>
        </m:r>
      </m:oMath>
      <w:r>
        <w:t xml:space="preserve"> </w:t>
      </w:r>
      <w:r>
        <w:t xml:space="preserve">=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we offer a</w:t>
      </w:r>
      <w:r>
        <w:t xml:space="preserve"> </w:t>
      </w:r>
      <w:r>
        <w:rPr>
          <w:bCs/>
          <w:b/>
        </w:rPr>
        <w:t xml:space="preserve">relocated-optimum reframing</w:t>
      </w:r>
      <w:r>
        <w:t xml:space="preserve"> </w:t>
      </w:r>
      <w:r>
        <w:t xml:space="preserve">of the two-decade debate over the shape of the I–P curve. We do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our contribution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we operationalise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 .049 estimate does</w:t>
      </w:r>
      <w:r>
        <w:t xml:space="preserve"> </w:t>
      </w:r>
      <w:r>
        <w:rPr>
          <w:iCs/>
          <w:i/>
        </w:rPr>
        <w:t xml:space="preserve">not</w:t>
      </w:r>
      <w:r>
        <w:t xml:space="preserve"> </w:t>
      </w:r>
      <w:r>
        <w:t xml:space="preserve">survive. The ICRV moderation of curvature (H5, both linear and quadratic interaction terms p &lt; .001) remains robust under any reasonable family-wise correction. We therefore report the substitution result as a directionally consistent, theoretically anchored but pre-correction borderline finding that motivates targeted replication on a Tier 3–4-capable digital instrument, not as a definitively established estimate. Reading the p = .049 estimate with this caution, we frame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Five inferential constraints bound these findings. First, WBES is a cross-sectional design: the term "performance" 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X53bfa9f9d740332653d495f3805327b6b3f6785"/>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4"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t>
      </w:r>
      <w:hyperlink r:id="rId53">
        <w:r>
          <w:rPr>
            <w:rStyle w:val="Hyperlink"/>
          </w:rPr>
          <w:t xml:space="preserve">www.enterprisesurveys.org</w:t>
        </w:r>
      </w:hyperlink>
      <w:r>
        <w:t xml:space="preserve">).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4"/>
    <w:bookmarkStart w:id="8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5">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6">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7">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8">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9">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0">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1">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2">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3">
        <w:r>
          <w:rPr>
            <w:rStyle w:val="Hyperlink"/>
          </w:rPr>
          <w:t xml:space="preserve">https://doi.org/10.1007/s10869-013-9308-7</w:t>
        </w:r>
      </w:hyperlink>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4">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5">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7">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9">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0">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1">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2">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3">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4">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5">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6">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7">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8">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0">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81">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8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3"/>
    <w:bookmarkStart w:id="8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 = .026):</w:t>
      </w:r>
      <w:r>
        <w:t xml:space="preserve"> </w:t>
      </w:r>
      <m:oMath>
        <m:r>
          <m:rPr>
            <m:nor/>
            <m:sty m:val="p"/>
          </m:rPr>
          <m:t>DAI</m:t>
        </m:r>
        <m:r>
          <m:rPr>
            <m:sty m:val="p"/>
          </m:rPr>
          <m:t>×</m:t>
        </m:r>
        <m:r>
          <m:rPr>
            <m:nor/>
            <m:sty m:val="p"/>
          </m:rPr>
          <m:t>ICRV</m:t>
        </m:r>
      </m:oMath>
      <w:r>
        <w:t xml:space="preserve">=+0.052*, three-way</w:t>
      </w:r>
      <w:r>
        <w:t xml:space="preserve"> </w:t>
      </w:r>
      <m:oMath>
        <m:r>
          <m:rPr>
            <m:nor/>
            <m:sty m:val="p"/>
          </m:rPr>
          <m:t>FSTS</m:t>
        </m:r>
        <m:r>
          <m:rPr>
            <m:sty m:val="p"/>
          </m:rPr>
          <m:t>×</m:t>
        </m:r>
        <m:r>
          <m:rPr>
            <m:nor/>
            <m:sty m:val="p"/>
          </m:rPr>
          <m:t>DAI</m:t>
        </m:r>
        <m:r>
          <m:rPr>
            <m:sty m:val="p"/>
          </m:rPr>
          <m:t>×</m:t>
        </m:r>
        <m:r>
          <m:rPr>
            <m:nor/>
            <m:sty m:val="p"/>
          </m:rPr>
          <m:t>ICRV</m:t>
        </m:r>
      </m:oMath>
      <w:r>
        <w:t xml:space="preserve">=−0.016 (NS), mgr_experience=+0.022***, FSTS</w:t>
      </w:r>
      <m:oMath>
        <m:r>
          <m:rPr>
            <m:sty m:val="p"/>
          </m:rPr>
          <m:t>×</m:t>
        </m:r>
      </m:oMath>
      <w:r>
        <w:t xml:space="preserve">mgr=+0.007 (NS), mgr_female=+0.210***, female_owner=+0.122**.</w:t>
      </w:r>
    </w:p>
    <w:p>
      <w:r>
        <w:pict>
          <v:rect style="width:0;height:1.5pt" o:hralign="center" o:hrstd="t" o:hr="t"/>
        </w:pict>
      </w:r>
    </w:p>
    <w:bookmarkEnd w:id="84"/>
    <w:bookmarkStart w:id="8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2026-06-01T00:21:51Z</dcterms:created>
  <dcterms:modified xsi:type="dcterms:W3CDTF">2026-06-01T00:21:51Z</dcterms:modified>
</cp:coreProperties>
</file>

<file path=docProps/custom.xml><?xml version="1.0" encoding="utf-8"?>
<Properties xmlns="http://schemas.openxmlformats.org/officeDocument/2006/custom-properties" xmlns:vt="http://schemas.openxmlformats.org/officeDocument/2006/docPropsVTypes"/>
</file>