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w:t>
      </w:r>
      <w:r>
        <w:t xml:space="preserve"> </w:t>
      </w:r>
      <w:r>
        <w:t xml:space="preserve">“</w:t>
      </w:r>
      <w:r>
        <w:t xml:space="preserve">World Bank (n.d.)</w:t>
      </w:r>
      <w:r>
        <w:t xml:space="preserve">”</w:t>
      </w:r>
      <w:r>
        <w:t xml:space="preserve"> </w:t>
      </w:r>
      <w:r>
        <w:t xml:space="preserve">→</w:t>
      </w:r>
      <w:r>
        <w:t xml:space="preserve"> </w:t>
      </w:r>
      <w:r>
        <w:t xml:space="preserve">“</w:t>
      </w:r>
      <w:r>
        <w:t xml:space="preserve">World Bank Enterprise Surveys (2025)</w:t>
      </w:r>
      <w:r>
        <w:t xml:space="preserve">”</w:t>
      </w:r>
      <w:r>
        <w:t xml:space="preserve"> </w:t>
      </w:r>
      <w:r>
        <w:t xml:space="preserve">theo APA 7th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§1.1 và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w:t>
      </w:r>
      <w:r>
        <w:t xml:space="preserve"> </w:t>
      </w:r>
      <w:r>
        <w:t xml:space="preserve">“</w:t>
      </w:r>
      <w:r>
        <w:t xml:space="preserve">Global Progress</w:t>
      </w:r>
      <w:r>
        <w:t xml:space="preserve">”</w:t>
      </w:r>
      <w:r>
        <w:t xml:space="preserve"> </w:t>
      </w:r>
      <w:r>
        <w:t xml:space="preserve">chapter-level entry với URL</w:t>
      </w:r>
      <w:r>
        <w:t xml:space="preserve"> </w:t>
      </w:r>
      <w:r>
        <w:rPr>
          <w:rStyle w:val="VerbatimChar"/>
        </w:rPr>
        <w:t xml:space="preserve">/global-progress</w:t>
      </w:r>
      <w:r>
        <w:t xml:space="preserve"> </w:t>
      </w:r>
      <w:r>
        <w:t xml:space="preserve">(Section P); (ii) in-text citations trong P8 §1 (SIDS development lag) và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w:t>
      </w:r>
      <w:r>
        <w:t xml:space="preserve"> </w:t>
      </w:r>
      <w:r>
        <w:t xml:space="preserve">“</w:t>
      </w:r>
      <w:r>
        <w:t xml:space="preserve">Mahler, Serajuddin, Wadhwa &amp; Yonzan (2026)</w:t>
      </w:r>
      <w:r>
        <w:t xml:space="preserve">”</w:t>
      </w:r>
      <w:r>
        <w:t xml:space="preserve"> </w:t>
      </w:r>
      <w:r>
        <w:t xml:space="preserve">= WPS11350 ≠</w:t>
      </w:r>
      <w:r>
        <w:t xml:space="preserve"> </w:t>
      </w:r>
      <w:r>
        <w:t xml:space="preserve">“</w:t>
      </w:r>
      <w:r>
        <w:t xml:space="preserve">Mahler, Wang &amp; Weber (2026)</w:t>
      </w:r>
      <w:r>
        <w:t xml:space="preserve">”</w:t>
      </w:r>
      <w:r>
        <w:t xml:space="preserve"> </w:t>
      </w:r>
      <w:r>
        <w:t xml:space="preserve">= Atlas chapter (Section P). In-text citations added: P3 §5 (Agarwal + Barattieri), P8 §1 (Mahler et al. 2026b), CD2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RESOLVED Audit Warning 1 v2.4</w:t>
      </w:r>
      <w:r>
        <w:t xml:space="preserve">: Lin &amp; Beamish (2005) →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20" w:name="X1ce219aaccc3c8d52177b991e903b9a90c924a4"/>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r>
        <w:t xml:space="preserve">https://doi.org/10.1057/jibs.2012.14</w:t>
      </w:r>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r>
        <w:t xml:space="preserve">https://doi.org/10.1057/palgrave.jibs.8490372</w:t>
      </w:r>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r>
        <w:t xml:space="preserve">https://doi.org/10.1057/s41267-017-0078-8</w:t>
      </w:r>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r>
        <w:t xml:space="preserve">https://doi.org/10.1257/jel.38.3.595</w:t>
      </w:r>
      <w:r>
        <w:t xml:space="preserve"> </w:t>
      </w:r>
      <w:r>
        <w:rPr>
          <w:iCs/>
          <w:i/>
        </w:rPr>
        <w:t xml:space="preserve">(Mới v2.4)</w:t>
      </w:r>
    </w:p>
    <w:bookmarkEnd w:id="20"/>
    <w:bookmarkStart w:id="21" w:name="Xdddc3dd33816a0d15b1ee27292b4b9ce93f0ba7"/>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RESOLVED v2.5 — Audit Warning 1</w:t>
      </w:r>
      <w:r>
        <w:t xml:space="preserve">: Lin &amp; Beamish (2005) → Lu &amp; Beamish (2004) replacement đã hoàn tất trong file 14 v3.8 (commit e2f8415, 07/05/2026): 4 occurrences trong §1.1, §2.6, Bảng 2.6.1 đã updated. Lu &amp; Beamish (2004) AMJ S-curve DOI 10.2307/20159604 đã có sẵn Section B từ v2.1.</w:t>
      </w:r>
    </w:p>
    <w:bookmarkEnd w:id="21"/>
    <w:bookmarkStart w:id="22"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22"/>
    <w:bookmarkStart w:id="23" w:name="X9097ee1fea4d56edd2b99c3d71a4a615432cf1f"/>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r>
        <w:t xml:space="preserve">https://doi.org/10.1002/gsj.1479</w:t>
      </w:r>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r>
        <w:t xml:space="preserve">https://doi.org/10.1002/gsj.1510</w:t>
      </w:r>
      <w:r>
        <w:t xml:space="preserve"> </w:t>
      </w:r>
      <w:r>
        <w:rPr>
          <w:iCs/>
          <w:i/>
        </w:rPr>
        <w:t xml:space="preserve">(Mới v2.3 — 3.331 US-listed firms 82 nước; phân tách de jure exposure vs de facto enforcement.)</w:t>
      </w:r>
    </w:p>
    <w:bookmarkEnd w:id="23"/>
    <w:bookmarkStart w:id="24" w:name="X5943e13ebd761ed89df86a9d940a6ae7a0dd948"/>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r>
        <w:t xml:space="preserve">https://doi.org/10.1080/09585192.2025.2550765</w:t>
      </w:r>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r>
        <w:t xml:space="preserve">https://doi.org/10.1177/21582440251335079</w:t>
      </w:r>
      <w:r>
        <w:t xml:space="preserve"> </w:t>
      </w:r>
      <w:r>
        <w:rPr>
          <w:iCs/>
          <w:i/>
        </w:rPr>
        <w:t xml:space="preserve">(Mới v2.3)</w:t>
      </w:r>
    </w:p>
    <w:bookmarkEnd w:id="24"/>
    <w:bookmarkStart w:id="25"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25"/>
    <w:bookmarkStart w:id="26"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26"/>
    <w:bookmarkStart w:id="27" w:name="h.-firm-performance-đa-chiều"/>
    <w:p>
      <w:pPr>
        <w:pStyle w:val="Heading2"/>
      </w:pPr>
      <w:r>
        <w:t xml:space="preserve">H. Firm performance đa chiều</w:t>
      </w:r>
    </w:p>
    <w:p>
      <w:pPr>
        <w:pStyle w:val="FirstParagraph"/>
      </w:pPr>
      <w:r>
        <w:t xml:space="preserve">(Giữ nguyên từ v2.1.)</w:t>
      </w:r>
    </w:p>
    <w:bookmarkEnd w:id="27"/>
    <w:bookmarkStart w:id="28"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28"/>
    <w:bookmarkStart w:id="29" w:name="X7621949d30e744d6874048fecb1435cd5e216fd"/>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r>
        <w:t xml:space="preserve">https://doi.org/10.1177/1094428119836485</w:t>
      </w:r>
      <w:r>
        <w:t xml:space="preserve"> </w:t>
      </w:r>
      <w:r>
        <w:rPr>
          <w:iCs/>
          <w:i/>
        </w:rPr>
        <w:t xml:space="preserve">(Mới v2.4 — 12-point data section transparency framework.)</w:t>
      </w:r>
    </w:p>
    <w:bookmarkEnd w:id="29"/>
    <w:bookmarkStart w:id="30" w:name="X671f5c1355043217bd04f1f91c41f74e5ebb142"/>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r>
        <w:t xml:space="preserve">https://www.enterprisesurveys.org</w:t>
      </w:r>
      <w:r>
        <w:t xml:space="preserve"> </w:t>
      </w:r>
      <w:r>
        <w:rPr>
          <w:iCs/>
          <w:i/>
        </w:rPr>
        <w:t xml:space="preserve">(Mới v2.5 — Bản tiếng Việt tóm tắt 5 lĩnh vực WBES với thuật ngữ Việt chuẩn từ World Bank: (1) Quy định pháp lý + Thuế (Time Tax =</w:t>
      </w:r>
      <w:r>
        <w:rPr>
          <w:iCs/>
          <w:i/>
        </w:rPr>
        <w:t xml:space="preserve"> </w:t>
      </w:r>
      <w:r>
        <w:rPr>
          <w:iCs/>
          <w:i/>
        </w:rPr>
        <w:t xml:space="preserve">“</w:t>
      </w:r>
      <w:r>
        <w:rPr>
          <w:iCs/>
          <w:i/>
        </w:rPr>
        <w:t xml:space="preserve">Thuế thời gian</w:t>
      </w:r>
      <w:r>
        <w:rPr>
          <w:iCs/>
          <w:i/>
        </w:rPr>
        <w:t xml:space="preserve">”</w:t>
      </w:r>
      <w:r>
        <w:rPr>
          <w:iCs/>
          <w:i/>
        </w:rPr>
        <w:t xml:space="preserve">; Tax compliance =</w:t>
      </w:r>
      <w:r>
        <w:rPr>
          <w:iCs/>
          <w:i/>
        </w:rPr>
        <w:t xml:space="preserve"> </w:t>
      </w:r>
      <w:r>
        <w:rPr>
          <w:iCs/>
          <w:i/>
        </w:rPr>
        <w:t xml:space="preserve">“</w:t>
      </w:r>
      <w:r>
        <w:rPr>
          <w:iCs/>
          <w:i/>
        </w:rPr>
        <w:t xml:space="preserve">Tuân thủ thuế</w:t>
      </w:r>
      <w:r>
        <w:rPr>
          <w:iCs/>
          <w:i/>
        </w:rPr>
        <w:t xml:space="preserve">”</w:t>
      </w:r>
      <w:r>
        <w:rPr>
          <w:iCs/>
          <w:i/>
        </w:rPr>
        <w:t xml:space="preserve">); (2) Tài chính + Tín dụng (Credit constraint =</w:t>
      </w:r>
      <w:r>
        <w:rPr>
          <w:iCs/>
          <w:i/>
        </w:rPr>
        <w:t xml:space="preserve"> </w:t>
      </w:r>
      <w:r>
        <w:rPr>
          <w:iCs/>
          <w:i/>
        </w:rPr>
        <w:t xml:space="preserve">“</w:t>
      </w:r>
      <w:r>
        <w:rPr>
          <w:iCs/>
          <w:i/>
        </w:rPr>
        <w:t xml:space="preserve">Hạn chế tín dụng</w:t>
      </w:r>
      <w:r>
        <w:rPr>
          <w:iCs/>
          <w:i/>
        </w:rPr>
        <w:t xml:space="preserve">”</w:t>
      </w:r>
      <w:r>
        <w:rPr>
          <w:iCs/>
          <w:i/>
        </w:rPr>
        <w:t xml:space="preserve">; Financial digitalization =</w:t>
      </w:r>
      <w:r>
        <w:rPr>
          <w:iCs/>
          <w:i/>
        </w:rPr>
        <w:t xml:space="preserve"> </w:t>
      </w:r>
      <w:r>
        <w:rPr>
          <w:iCs/>
          <w:i/>
        </w:rPr>
        <w:t xml:space="preserve">“</w:t>
      </w:r>
      <w:r>
        <w:rPr>
          <w:iCs/>
          <w:i/>
        </w:rPr>
        <w:t xml:space="preserve">Số hóa tài chính</w:t>
      </w:r>
      <w:r>
        <w:rPr>
          <w:iCs/>
          <w:i/>
        </w:rPr>
        <w:t xml:space="preserve">”</w:t>
      </w:r>
      <w:r>
        <w:rPr>
          <w:iCs/>
          <w:i/>
        </w:rPr>
        <w:t xml:space="preserve">); (3) Cơ sở hạ tầng + Khí hậu (Energy management =</w:t>
      </w:r>
      <w:r>
        <w:rPr>
          <w:iCs/>
          <w:i/>
        </w:rPr>
        <w:t xml:space="preserve"> </w:t>
      </w:r>
      <w:r>
        <w:rPr>
          <w:iCs/>
          <w:i/>
        </w:rPr>
        <w:t xml:space="preserve">“</w:t>
      </w:r>
      <w:r>
        <w:rPr>
          <w:iCs/>
          <w:i/>
        </w:rPr>
        <w:t xml:space="preserve">Quản lý năng lượng</w:t>
      </w:r>
      <w:r>
        <w:rPr>
          <w:iCs/>
          <w:i/>
        </w:rPr>
        <w:t xml:space="preserve">”</w:t>
      </w:r>
      <w:r>
        <w:rPr>
          <w:iCs/>
          <w:i/>
        </w:rPr>
        <w:t xml:space="preserve">); (4) Tham nhũng + Tranh chấp (Bribery =</w:t>
      </w:r>
      <w:r>
        <w:rPr>
          <w:iCs/>
          <w:i/>
        </w:rPr>
        <w:t xml:space="preserve"> </w:t>
      </w:r>
      <w:r>
        <w:rPr>
          <w:iCs/>
          <w:i/>
        </w:rPr>
        <w:t xml:space="preserve">“</w:t>
      </w:r>
      <w:r>
        <w:rPr>
          <w:iCs/>
          <w:i/>
        </w:rPr>
        <w:t xml:space="preserve">Hối lộ</w:t>
      </w:r>
      <w:r>
        <w:rPr>
          <w:iCs/>
          <w:i/>
        </w:rPr>
        <w:t xml:space="preserve">”</w:t>
      </w:r>
      <w:r>
        <w:rPr>
          <w:iCs/>
          <w:i/>
        </w:rPr>
        <w:t xml:space="preserve">; Graft =</w:t>
      </w:r>
      <w:r>
        <w:rPr>
          <w:iCs/>
          <w:i/>
        </w:rPr>
        <w:t xml:space="preserve"> </w:t>
      </w:r>
      <w:r>
        <w:rPr>
          <w:iCs/>
          <w:i/>
        </w:rPr>
        <w:t xml:space="preserve">“</w:t>
      </w:r>
      <w:r>
        <w:rPr>
          <w:iCs/>
          <w:i/>
        </w:rPr>
        <w:t xml:space="preserve">Tham ô</w:t>
      </w:r>
      <w:r>
        <w:rPr>
          <w:iCs/>
          <w:i/>
        </w:rPr>
        <w:t xml:space="preserve">”</w:t>
      </w:r>
      <w:r>
        <w:rPr>
          <w:iCs/>
          <w:i/>
        </w:rPr>
        <w:t xml:space="preserve">); (5) Lao động + Đổi mới (Online presence =</w:t>
      </w:r>
      <w:r>
        <w:rPr>
          <w:iCs/>
          <w:i/>
        </w:rPr>
        <w:t xml:space="preserve"> </w:t>
      </w:r>
      <w:r>
        <w:rPr>
          <w:iCs/>
          <w:i/>
        </w:rPr>
        <w:t xml:space="preserve">“</w:t>
      </w:r>
      <w:r>
        <w:rPr>
          <w:iCs/>
          <w:i/>
        </w:rPr>
        <w:t xml:space="preserve">Hiện diện trực tuyến</w:t>
      </w:r>
      <w:r>
        <w:rPr>
          <w:iCs/>
          <w:i/>
        </w:rPr>
        <w:t xml:space="preserve">”</w:t>
      </w:r>
      <w:r>
        <w:rPr>
          <w:iCs/>
          <w:i/>
        </w:rPr>
        <w:t xml:space="preserve">). Năm xuất bản KHÔNG ghi rõ — APA 7th cite</w:t>
      </w:r>
      <w:r>
        <w:rPr>
          <w:iCs/>
          <w:i/>
        </w:rPr>
        <w:t xml:space="preserve"> </w:t>
      </w:r>
      <w:r>
        <w:rPr>
          <w:iCs/>
          <w:i/>
        </w:rPr>
        <w:t xml:space="preserve">“</w:t>
      </w:r>
      <w:r>
        <w:rPr>
          <w:iCs/>
          <w:i/>
        </w:rPr>
        <w:t xml:space="preserve">n.d.</w:t>
      </w:r>
      <w:r>
        <w:rPr>
          <w:iCs/>
          <w:i/>
        </w:rPr>
        <w:t xml:space="preserve">”</w:t>
      </w:r>
      <w:r>
        <w:rPr>
          <w:iCs/>
          <w:i/>
        </w:rPr>
        <w:t xml:space="preserve"> </w:t>
      </w:r>
      <w:r>
        <w:rPr>
          <w:iCs/>
          <w:i/>
        </w:rPr>
        <w:t xml:space="preserve">per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 $1.136-$4.495; Thu nhập trung bình cao $4.496-$13.935;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§1.3 phạm vi không gian (47 nước châu Á phân loại theo income group) +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r>
        <w:t xml:space="preserve">https://www.adb.org/documents/adb-annual-report-2025</w:t>
      </w:r>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r>
        <w:t xml:space="preserve">https://www.adb.org/viet-nam</w:t>
      </w:r>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w:t>
      </w:r>
      <w:r>
        <w:rPr>
          <w:iCs/>
          <w:i/>
        </w:rPr>
        <w:t xml:space="preserve"> </w:t>
      </w:r>
      <w:r>
        <w:rPr>
          <w:iCs/>
          <w:i/>
        </w:rPr>
        <w:t xml:space="preserve">“</w:t>
      </w:r>
      <w:r>
        <w:rPr>
          <w:iCs/>
          <w:i/>
        </w:rPr>
        <w:t xml:space="preserve">higher-value</w:t>
      </w:r>
      <w:r>
        <w:rPr>
          <w:iCs/>
          <w:i/>
        </w:rPr>
        <w:t xml:space="preserve">”</w:t>
      </w:r>
      <w:r>
        <w:rPr>
          <w:iCs/>
          <w:i/>
        </w:rPr>
        <w:t xml:space="preserve"> </w:t>
      </w:r>
      <w:r>
        <w:rPr>
          <w:iCs/>
          <w:i/>
        </w:rPr>
        <w:t xml:space="preserve">stage; (d) Lạm phát dự phóng 4,0%; (e) Two-tier framing: FDI-sector 18% global solution contribution vs SMEs nội địa cần hỗ trợ fintech/capacity (ADB Policy-Based Loans $2,4B target nhóm này); (f) GVC re-positioning từ assembly → mid-stream design/R&amp;D dựa trên 3 trụ cột Resilience + Environmental Sustainability + Inclusiveness. Cited §1.1 lớp 6 update +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 18% 2000-2023.)</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w:t>
      </w:r>
      <w:r>
        <w:rPr>
          <w:bCs/>
          <w:b/>
          <w:iCs/>
          <w:i/>
        </w:rPr>
        <w:t xml:space="preserve"> </w:t>
      </w:r>
      <w:r>
        <w:rPr>
          <w:bCs/>
          <w:b/>
          <w:iCs/>
          <w:i/>
        </w:rPr>
        <w:t xml:space="preserve">“</w:t>
      </w:r>
      <w:r>
        <w:rPr>
          <w:bCs/>
          <w:b/>
          <w:iCs/>
          <w:i/>
        </w:rPr>
        <w:t xml:space="preserve">n.d.</w:t>
      </w:r>
      <w:r>
        <w:rPr>
          <w:bCs/>
          <w:b/>
          <w:iCs/>
          <w:i/>
        </w:rPr>
        <w:t xml:space="preserve">”</w:t>
      </w:r>
      <w:r>
        <w:rPr>
          <w:iCs/>
          <w:i/>
        </w:rPr>
        <w:t xml:space="preserve"> </w:t>
      </w:r>
      <w:r>
        <w:rPr>
          <w:iCs/>
          <w:i/>
        </w:rPr>
        <w:t xml:space="preserve">per §8.31; ước lượng 2023-2024. NCS verify trên trang IFC trước final. Cited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30"/>
    <w:bookmarkStart w:id="31" w:name="Xeaf172b95b80e69e50266cd7ab3722daa97d83f"/>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r>
        <w:t xml:space="preserve">https://doi.org/10.1093/oxfordjournals.cje.a035301</w:t>
      </w:r>
      <w:r>
        <w:t xml:space="preserve"> </w:t>
      </w:r>
      <w:r>
        <w:rPr>
          <w:iCs/>
          <w:i/>
        </w:rPr>
        <w:t xml:space="preserve">(Mới v2.4)</w:t>
      </w:r>
    </w:p>
    <w:bookmarkEnd w:id="31"/>
    <w:bookmarkStart w:id="32" w:name="X7241ee869b897bec300afe2239fcffb546e80e2"/>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32"/>
    <w:bookmarkStart w:id="33" w:name="X1905c160c4cd52294e7a67a5792aaeb2433790b"/>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33"/>
    <w:bookmarkStart w:id="34" w:name="X2132ca8004af576b93c55ebf0ffe37a44f46a17"/>
    <w:p>
      <w:pPr>
        <w:pStyle w:val="Heading2"/>
      </w:pPr>
      <w:r>
        <w:t xml:space="preserve">O. Văn bản pháp lý Việt Nam (cited trong CĐ1 §7.3.3)</w:t>
      </w:r>
    </w:p>
    <w:p>
      <w:pPr>
        <w:pStyle w:val="FirstParagraph"/>
      </w:pPr>
      <w:r>
        <w:t xml:space="preserve">(Giữ nguyên từ v2.0 — 7 văn bản pháp lý + 8 hiệp định FTA.)</w:t>
      </w:r>
    </w:p>
    <w:bookmarkEnd w:id="34"/>
    <w:bookmarkStart w:id="35" w:name="X8c3cce854d69d4cec5e0e5c79c65fd3ecacba09"/>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r>
        <w:t xml:space="preserve"> </w:t>
      </w:r>
      <w:r>
        <w:rPr>
          <w:iCs/>
          <w:i/>
        </w:rPr>
        <w:t xml:space="preserve">(Mới v2.6 — Strait of Hormuz closure: 35% seaborne crude oil; Brent $72→$118/bbl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r>
        <w:t xml:space="preserve"> </w:t>
      </w:r>
      <w:r>
        <w:rPr>
          <w:iCs/>
          <w:i/>
        </w:rPr>
        <w:t xml:space="preserve">(Mới v2.7 — progress slowest on record in 15 of 26 tracked development indicators; SIDS and Sub-Saharan Africa most affected; 75 years of development data: 121,249 data points · 107 datasets; per-capita income growth in LICs 2020-2025 below historical average; poorest quintile lost most ground since COVID-19 disruption.)</w:t>
      </w:r>
    </w:p>
    <w:p>
      <w:r>
        <w:pict>
          <v:rect style="width:0;height:1.5pt" o:hralign="center" o:hrstd="t" o:hr="t"/>
        </w:pict>
      </w:r>
    </w:p>
    <w:bookmarkEnd w:id="35"/>
    <w:bookmarkStart w:id="36" w:name="X9fda309e68ad5febed2f75ba3907e03a038cbb1"/>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Mar, K. S., Đỗ, T. H., &amp; Phan, A. T. (2026). Institutional completeness and the internationalization-performance relationship: Capability ceiling and dual substitution evidence from Singapore.</w:t>
      </w:r>
      <w:r>
        <w:t xml:space="preserve"> </w:t>
      </w:r>
      <w:r>
        <w:rPr>
          <w:iCs/>
          <w:i/>
        </w:rPr>
        <w:t xml:space="preserve">Management International Review</w:t>
      </w:r>
      <w:r>
        <w:t xml:space="preserve"> </w:t>
      </w:r>
      <w:r>
        <w:t xml:space="preserve">(under review).</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 T. T., Do, T. H., &amp; Phan, A. T. (2026).</w:t>
      </w:r>
      <w:r>
        <w:t xml:space="preserve"> </w:t>
      </w:r>
      <w:r>
        <w:rPr>
          <w:iCs/>
          <w:i/>
        </w:rPr>
        <w:t xml:space="preserve">Digital adoption and the internationalization-performance curve: Evidence from Singapore firms</w:t>
      </w:r>
      <w:r>
        <w:t xml:space="preserve"> </w:t>
      </w:r>
      <w:r>
        <w:t xml:space="preserve">[Manuscript under review].</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 https://unctad.org/wir2023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 https://data360.worldbank.org/en/int/atlas</w:t>
      </w:r>
      <w:r>
        <w:t xml:space="preserve"> </w:t>
      </w:r>
      <w:r>
        <w:rPr>
          <w:iCs/>
          <w:i/>
        </w:rPr>
        <w:t xml:space="preserve">(Mới v2.6 — 121,249 data points · 107 datasets ·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36"/>
    <w:bookmarkStart w:id="37" w:name="X4863c99e382dd33e45c83c62d65ccdbfdf2be54"/>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37"/>
    <w:bookmarkStart w:id="38" w:name="Xbd941738ba66bb94640e93ff5b476f7b031b91b"/>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r>
        <w:pict>
          <v:rect style="width:0;height:1.5pt" o:hralign="center" o:hrstd="t" o:hr="t"/>
        </w:pict>
      </w:r>
    </w:p>
    <w:bookmarkEnd w:id="38"/>
    <w:bookmarkStart w:id="39" w:name="Xef809cfcfe0baf8ba5c87a5d2dc964c02e59512"/>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w:t>
      </w:r>
      <w:r>
        <w:t xml:space="preserve"> </w:t>
      </w:r>
      <w:r>
        <w:t xml:space="preserve">“</w:t>
      </w:r>
      <w:r>
        <w:t xml:space="preserve">a/b</w:t>
      </w:r>
      <w:r>
        <w:t xml:space="preserve">”</w:t>
      </w:r>
      <w:r>
        <w:t xml:space="preserve"> </w:t>
      </w:r>
      <w:r>
        <w:t xml:space="preserve">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 +2,9% năng suất hàng năm trong dịch vụ, +3,1% trong sản xuất;</w:t>
      </w:r>
      <w:r>
        <w:rPr>
          <w:iCs/>
          <w:i/>
        </w:rPr>
        <w:t xml:space="preserve"> </w:t>
      </w:r>
      <w:r>
        <w:rPr>
          <w:iCs/>
          <w:i/>
        </w:rPr>
        <w:t xml:space="preserve">“</w:t>
      </w:r>
      <w:r>
        <w:rPr>
          <w:iCs/>
          <w:i/>
        </w:rPr>
        <w:t xml:space="preserve">China-plus-one</w:t>
      </w:r>
      <w:r>
        <w:rPr>
          <w:iCs/>
          <w:i/>
        </w:rPr>
        <w:t xml:space="preserve">”</w:t>
      </w:r>
      <w:r>
        <w:rPr>
          <w:iCs/>
          <w:i/>
        </w:rPr>
        <w:t xml:space="preserve"> </w:t>
      </w:r>
      <w:r>
        <w:rPr>
          <w:iCs/>
          <w:i/>
        </w:rPr>
        <w:t xml:space="preserve">strategy lợi ích hạn chế cho phần lớn đang phát triển; US Supreme Court Feb 20 2026 tuyên bố IEEPA tariffs unconstitutional. Cited P3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w:t>
      </w:r>
      <w:r>
        <w:rPr>
          <w:iCs/>
          <w:i/>
        </w:rPr>
        <w:t xml:space="preserve"> </w:t>
      </w:r>
      <w:r>
        <w:rPr>
          <w:iCs/>
          <w:i/>
        </w:rPr>
        <w:t xml:space="preserve">“</w:t>
      </w:r>
      <w:r>
        <w:rPr>
          <w:iCs/>
          <w:i/>
        </w:rPr>
        <w:t xml:space="preserve">năng lực thể chế</w:t>
      </w:r>
      <w:r>
        <w:rPr>
          <w:iCs/>
          <w:i/>
        </w:rPr>
        <w:t xml:space="preserve">”</w:t>
      </w:r>
      <w:r>
        <w:rPr>
          <w:iCs/>
          <w:i/>
        </w:rPr>
        <w:t xml:space="preserve"> </w:t>
      </w:r>
      <w:r>
        <w:rPr>
          <w:iCs/>
          <w:i/>
        </w:rPr>
        <w:t xml:space="preserve">= khả năng thực thi chính sách của các tổ chức công; hai chiều: Tổ chức (nhân sự, tài chính, hệ thống thông tin, quản lý) và Quản trị (minh bạch, độc lập, trách nhiệm giải trình); xây dựng trên North (1990); phân tích</w:t>
      </w:r>
      <w:r>
        <w:rPr>
          <w:iCs/>
          <w:i/>
        </w:rPr>
        <w:t xml:space="preserve"> </w:t>
      </w:r>
      <w:r>
        <w:rPr>
          <w:iCs/>
          <w:i/>
        </w:rPr>
        <w:t xml:space="preserve">“</w:t>
      </w:r>
      <w:r>
        <w:rPr>
          <w:iCs/>
          <w:i/>
        </w:rPr>
        <w:t xml:space="preserve">islands of excellence</w:t>
      </w:r>
      <w:r>
        <w:rPr>
          <w:iCs/>
          <w:i/>
        </w:rPr>
        <w:t xml:space="preserve">”</w:t>
      </w:r>
      <w:r>
        <w:rPr>
          <w:iCs/>
          <w:i/>
        </w:rPr>
        <w:t xml:space="preserve"> </w:t>
      </w:r>
      <w:r>
        <w:rPr>
          <w:iCs/>
          <w:i/>
        </w:rPr>
        <w:t xml:space="preserve">trong môi trường năng lực thấp; tương quan dương vững giữa năng lực thể chế và phát triển kinh tế. Cited CD2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w:t>
      </w:r>
      <w:r>
        <w:rPr>
          <w:iCs/>
          <w:i/>
        </w:rPr>
        <w:t xml:space="preserve"> </w:t>
      </w:r>
      <w:r>
        <w:rPr>
          <w:iCs/>
          <w:i/>
        </w:rPr>
        <w:t xml:space="preserve">“</w:t>
      </w:r>
      <w:r>
        <w:rPr>
          <w:iCs/>
          <w:i/>
        </w:rPr>
        <w:t xml:space="preserve">stuck countries</w:t>
      </w:r>
      <w:r>
        <w:rPr>
          <w:iCs/>
          <w:i/>
        </w:rPr>
        <w:t xml:space="preserve">”</w:t>
      </w:r>
      <w:r>
        <w:rPr>
          <w:iCs/>
          <w:i/>
        </w:rPr>
        <w:t xml:space="preserve">.</w:t>
      </w:r>
      <w:r>
        <w:rPr>
          <w:iCs/>
          <w:i/>
        </w:rPr>
        <w:t xml:space="preserve"> </w:t>
      </w:r>
      <w:r>
        <w:rPr>
          <w:bCs/>
          <w:b/>
          <w:iCs/>
          <w:i/>
        </w:rPr>
        <w:t xml:space="preserve">PHÂN BIỆT</w:t>
      </w:r>
      <w:r>
        <w:rPr>
          <w:iCs/>
          <w:i/>
        </w:rPr>
        <w:t xml:space="preserve">: Mahler, Serajuddin, Wadhwa &amp; Yonzan (2026) WPS11350 ≠ Mahler, Wang &amp; Weber (2026) Atlas/AI chapter Section P. Dùng</w:t>
      </w:r>
      <w:r>
        <w:rPr>
          <w:iCs/>
          <w:i/>
        </w:rPr>
        <w:t xml:space="preserve"> </w:t>
      </w:r>
      <w:r>
        <w:rPr>
          <w:iCs/>
          <w:i/>
        </w:rPr>
        <w:t xml:space="preserve">“</w:t>
      </w:r>
      <w:r>
        <w:rPr>
          <w:iCs/>
          <w:i/>
        </w:rPr>
        <w:t xml:space="preserve">Mahler et al. (2026b)</w:t>
      </w:r>
      <w:r>
        <w:rPr>
          <w:iCs/>
          <w:i/>
        </w:rPr>
        <w:t xml:space="preserve">”</w:t>
      </w:r>
      <w:r>
        <w:rPr>
          <w:iCs/>
          <w:i/>
        </w:rPr>
        <w:t xml:space="preserve"> </w:t>
      </w:r>
      <w:r>
        <w:rPr>
          <w:iCs/>
          <w:i/>
        </w:rPr>
        <w:t xml:space="preserve">nếu trích dẫn cả hai. Cited P8 §1 Introduction — structural developmental constraints cho Pacific SIDS FIP mechanism.)</w:t>
      </w:r>
    </w:p>
    <w:p>
      <w:r>
        <w:pict>
          <v:rect style="width:0;height:1.5pt" o:hralign="center" o:hrstd="t" o:hr="t"/>
        </w:pict>
      </w:r>
    </w:p>
    <w:bookmarkEnd w:id="39"/>
    <w:bookmarkStart w:id="43" w:name="hướng-dẫn-sử-dụng-cập-nhật-v2.5"/>
    <w:p>
      <w:pPr>
        <w:pStyle w:val="Heading2"/>
      </w:pPr>
      <w:r>
        <w:t xml:space="preserve">Hướng dẫn sử dụng (cập nhật v2.5)</w:t>
      </w:r>
    </w:p>
    <w:bookmarkStart w:id="40" w:name="trong-bản-thảo-luận-án"/>
    <w:p>
      <w:pPr>
        <w:pStyle w:val="Heading3"/>
      </w:pPr>
      <w:r>
        <w:t xml:space="preserve">Trong bản thảo luận án</w:t>
      </w:r>
    </w:p>
    <w:p>
      <w:pPr>
        <w:numPr>
          <w:ilvl w:val="0"/>
          <w:numId w:val="1001"/>
        </w:numPr>
        <w:pStyle w:val="Compact"/>
      </w:pPr>
      <w:r>
        <w:t xml:space="preserve">Dùng in-text citation theo author-date.</w:t>
      </w:r>
    </w:p>
    <w:p>
      <w:pPr>
        <w:numPr>
          <w:ilvl w:val="0"/>
          <w:numId w:val="1001"/>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01"/>
        </w:numPr>
        <w:pStyle w:val="Compact"/>
      </w:pPr>
      <w:r>
        <w:t xml:space="preserve">Trích dẫn công trình của tác giả luận án: dùng suffix năm chuẩn APA 7 —</w:t>
      </w:r>
      <w:r>
        <w:t xml:space="preserve"> </w:t>
      </w:r>
      <w:r>
        <w:t xml:space="preserve">“</w:t>
      </w:r>
      <w:r>
        <w:t xml:space="preserve">Do và Phan (2026a)</w:t>
      </w:r>
      <w:r>
        <w:t xml:space="preserve">”</w:t>
      </w:r>
      <w:r>
        <w:t xml:space="preserve">,</w:t>
      </w:r>
      <w:r>
        <w:t xml:space="preserve"> </w:t>
      </w:r>
      <w:r>
        <w:t xml:space="preserve">“</w:t>
      </w:r>
      <w:r>
        <w:t xml:space="preserve">Do và Phan (2026g)</w:t>
      </w:r>
      <w:r>
        <w:t xml:space="preserve">”</w:t>
      </w:r>
      <w:r>
        <w:t xml:space="preserve">, v.v. (P1=2026a, P2=2026g, P3=2026e, P5=2026f, P6=2026c, P7=2026d, P8=2026b; P4=Mar et al., 2026).</w:t>
      </w:r>
    </w:p>
    <w:p>
      <w:pPr>
        <w:numPr>
          <w:ilvl w:val="0"/>
          <w:numId w:val="1001"/>
        </w:numPr>
        <w:pStyle w:val="Compact"/>
      </w:pPr>
      <w:r>
        <w:t xml:space="preserve">Trích dẫn báo cáo quốc tế thường niên: dùng dạng</w:t>
      </w:r>
      <w:r>
        <w:t xml:space="preserve"> </w:t>
      </w:r>
      <w:r>
        <w:t xml:space="preserve">“</w:t>
      </w:r>
      <w:r>
        <w:t xml:space="preserve">IMF (2026, April)</w:t>
      </w:r>
      <w:r>
        <w:t xml:space="preserve">”</w:t>
      </w:r>
      <w:r>
        <w:t xml:space="preserve"> </w:t>
      </w:r>
      <w:r>
        <w:t xml:space="preserve">hoặc</w:t>
      </w:r>
      <w:r>
        <w:t xml:space="preserve"> </w:t>
      </w:r>
      <w:r>
        <w:t xml:space="preserve">“</w:t>
      </w:r>
      <w:r>
        <w:t xml:space="preserve">ADB (2026, April)</w:t>
      </w:r>
      <w:r>
        <w:t xml:space="preserve">”</w:t>
      </w:r>
      <w:r>
        <w:t xml:space="preserve">.</w:t>
      </w:r>
    </w:p>
    <w:p>
      <w:pPr>
        <w:numPr>
          <w:ilvl w:val="0"/>
          <w:numId w:val="1001"/>
        </w:numPr>
        <w:pStyle w:val="Compact"/>
      </w:pPr>
      <w:r>
        <w:rPr>
          <w:bCs/>
          <w:b/>
        </w:rPr>
        <w:t xml:space="preserve">Trích dẫn ADB Vietnam Outlook 2026 (v2.5)</w:t>
      </w:r>
      <w:r>
        <w:t xml:space="preserve">: dùng dạng</w:t>
      </w:r>
      <w:r>
        <w:t xml:space="preserve"> </w:t>
      </w:r>
      <w:r>
        <w:t xml:space="preserve">“</w:t>
      </w:r>
      <w:r>
        <w:t xml:space="preserve">ADB (2026, April — Vietnam Outlook)</w:t>
      </w:r>
      <w:r>
        <w:t xml:space="preserve">”</w:t>
      </w:r>
      <w:r>
        <w:t xml:space="preserve"> </w:t>
      </w:r>
      <w:r>
        <w:t xml:space="preserve">để phân biệt với ADO April 2026 cùng năm.</w:t>
      </w:r>
    </w:p>
    <w:p>
      <w:pPr>
        <w:numPr>
          <w:ilvl w:val="0"/>
          <w:numId w:val="1001"/>
        </w:numPr>
        <w:pStyle w:val="Compact"/>
      </w:pPr>
      <w:r>
        <w:rPr>
          <w:bCs/>
          <w:b/>
        </w:rPr>
        <w:t xml:space="preserve">Trích dẫn IFC Blueprint (v2.5)</w:t>
      </w:r>
      <w:r>
        <w:t xml:space="preserve">: dùng dạng</w:t>
      </w:r>
      <w:r>
        <w:t xml:space="preserve"> </w:t>
      </w:r>
      <w:r>
        <w:t xml:space="preserve">“</w:t>
      </w:r>
      <w:r>
        <w:t xml:space="preserve">IFC (n.d. — PSD Blueprint)</w:t>
      </w:r>
      <w:r>
        <w:t xml:space="preserve">”</w:t>
      </w:r>
      <w:r>
        <w:t xml:space="preserve"> </w:t>
      </w:r>
      <w:r>
        <w:t xml:space="preserve">hoặc</w:t>
      </w:r>
      <w:r>
        <w:t xml:space="preserve"> </w:t>
      </w:r>
      <w:r>
        <w:t xml:space="preserve">“</w:t>
      </w:r>
      <w:r>
        <w:t xml:space="preserve">IFC (Private Sector Development Blueprint)</w:t>
      </w:r>
      <w:r>
        <w:t xml:space="preserve">”</w:t>
      </w:r>
      <w:r>
        <w:t xml:space="preserve"> </w:t>
      </w:r>
      <w:r>
        <w:t xml:space="preserve">cho rõ.</w:t>
      </w:r>
    </w:p>
    <w:p>
      <w:pPr>
        <w:numPr>
          <w:ilvl w:val="0"/>
          <w:numId w:val="1001"/>
        </w:numPr>
        <w:pStyle w:val="Compact"/>
      </w:pPr>
      <w:r>
        <w:rPr>
          <w:bCs/>
          <w:b/>
        </w:rPr>
        <w:t xml:space="preserve">Trích dẫn WB FY26 classification (v2.5)</w:t>
      </w:r>
      <w:r>
        <w:t xml:space="preserve">: dùng dạng</w:t>
      </w:r>
      <w:r>
        <w:t xml:space="preserve"> </w:t>
      </w:r>
      <w:r>
        <w:t xml:space="preserve">“</w:t>
      </w:r>
      <w:r>
        <w:t xml:space="preserve">World Bank (2025 — FY26)</w:t>
      </w:r>
      <w:r>
        <w:t xml:space="preserve">”</w:t>
      </w:r>
      <w:r>
        <w:t xml:space="preserve"> </w:t>
      </w:r>
      <w:r>
        <w:t xml:space="preserve">để phân biệt với các tài liệu World Bank khác cùng năm.</w:t>
      </w:r>
    </w:p>
    <w:p>
      <w:pPr>
        <w:numPr>
          <w:ilvl w:val="0"/>
          <w:numId w:val="1001"/>
        </w:numPr>
        <w:pStyle w:val="Compact"/>
      </w:pPr>
      <w:r>
        <w:rPr>
          <w:bCs/>
          <w:b/>
        </w:rPr>
        <w:t xml:space="preserve">Trích dẫn WB WBES indicators Vietnamese (v2.5)</w:t>
      </w:r>
      <w:r>
        <w:t xml:space="preserve">: dùng dạng</w:t>
      </w:r>
      <w:r>
        <w:t xml:space="preserve"> </w:t>
      </w:r>
      <w:r>
        <w:t xml:space="preserve">“</w:t>
      </w:r>
      <w:r>
        <w:t xml:space="preserve">World Bank (n.d. — Vietnamese Indicators Summary)</w:t>
      </w:r>
      <w:r>
        <w:t xml:space="preserve">”</w:t>
      </w:r>
      <w:r>
        <w:t xml:space="preserve">.</w:t>
      </w:r>
    </w:p>
    <w:p>
      <w:pPr>
        <w:numPr>
          <w:ilvl w:val="0"/>
          <w:numId w:val="1001"/>
        </w:numPr>
        <w:pStyle w:val="Compact"/>
      </w:pPr>
      <w:r>
        <w:rPr>
          <w:bCs/>
          <w:b/>
        </w:rPr>
        <w:t xml:space="preserve">Trích dẫn academic GSJ papers (v2.3)</w:t>
      </w:r>
      <w:r>
        <w:t xml:space="preserve">:</w:t>
      </w:r>
      <w:r>
        <w:t xml:space="preserve"> </w:t>
      </w:r>
      <w:r>
        <w:t xml:space="preserve">“</w:t>
      </w:r>
      <w:r>
        <w:t xml:space="preserve">Xu (2024)</w:t>
      </w:r>
      <w:r>
        <w:t xml:space="preserve">”</w:t>
      </w:r>
      <w:r>
        <w:t xml:space="preserve"> </w:t>
      </w:r>
      <w:r>
        <w:t xml:space="preserve">và</w:t>
      </w:r>
      <w:r>
        <w:t xml:space="preserve"> </w:t>
      </w:r>
      <w:r>
        <w:t xml:space="preserve">“</w:t>
      </w:r>
      <w:r>
        <w:t xml:space="preserve">Kafouros et al. (2023)</w:t>
      </w:r>
      <w:r>
        <w:t xml:space="preserve">”</w:t>
      </w:r>
      <w:r>
        <w:t xml:space="preserve">.</w:t>
      </w:r>
    </w:p>
    <w:p>
      <w:pPr>
        <w:numPr>
          <w:ilvl w:val="0"/>
          <w:numId w:val="1001"/>
        </w:numPr>
        <w:pStyle w:val="Compact"/>
      </w:pPr>
      <w:r>
        <w:rPr>
          <w:bCs/>
          <w:b/>
        </w:rPr>
        <w:t xml:space="preserve">Trích dẫn JIBS editorials (v2.4)</w:t>
      </w:r>
      <w:r>
        <w:t xml:space="preserve">:</w:t>
      </w:r>
      <w:r>
        <w:t xml:space="preserve"> </w:t>
      </w:r>
      <w:r>
        <w:t xml:space="preserve">“</w:t>
      </w:r>
      <w:r>
        <w:t xml:space="preserve">Bello &amp; Kostova (2012)</w:t>
      </w:r>
      <w:r>
        <w:t xml:space="preserve">”</w:t>
      </w:r>
      <w:r>
        <w:t xml:space="preserve"> </w:t>
      </w:r>
      <w:r>
        <w:t xml:space="preserve">và</w:t>
      </w:r>
      <w:r>
        <w:t xml:space="preserve"> </w:t>
      </w:r>
      <w:r>
        <w:t xml:space="preserve">“</w:t>
      </w:r>
      <w:r>
        <w:t xml:space="preserve">Meyer et al. (2017)</w:t>
      </w:r>
      <w:r>
        <w:t xml:space="preserve">”</w:t>
      </w:r>
      <w:r>
        <w:t xml:space="preserve">.</w:t>
      </w:r>
    </w:p>
    <w:p>
      <w:pPr>
        <w:numPr>
          <w:ilvl w:val="0"/>
          <w:numId w:val="1001"/>
        </w:numPr>
        <w:pStyle w:val="Compact"/>
      </w:pPr>
      <w:r>
        <w:rPr>
          <w:bCs/>
          <w:b/>
        </w:rPr>
        <w:t xml:space="preserve">Trích dẫn Section P — Data360 Atlas (v2.6)</w:t>
      </w:r>
      <w:r>
        <w:t xml:space="preserve">:</w:t>
      </w:r>
    </w:p>
    <w:p>
      <w:pPr>
        <w:numPr>
          <w:ilvl w:val="1"/>
          <w:numId w:val="1002"/>
        </w:numPr>
        <w:pStyle w:val="Compact"/>
      </w:pPr>
      <w:r>
        <w:t xml:space="preserve">Internet access story:</w:t>
      </w:r>
      <w:r>
        <w:t xml:space="preserve"> </w:t>
      </w:r>
      <w:r>
        <w:t xml:space="preserve">“</w:t>
      </w:r>
      <w:r>
        <w:t xml:space="preserve">Pirlea &amp; Corso (2026)</w:t>
      </w:r>
      <w:r>
        <w:t xml:space="preserve">”</w:t>
      </w:r>
    </w:p>
    <w:p>
      <w:pPr>
        <w:numPr>
          <w:ilvl w:val="1"/>
          <w:numId w:val="1002"/>
        </w:numPr>
        <w:pStyle w:val="Compact"/>
      </w:pPr>
      <w:r>
        <w:t xml:space="preserve">AI inequality story:</w:t>
      </w:r>
      <w:r>
        <w:t xml:space="preserve"> </w:t>
      </w:r>
      <w:r>
        <w:t xml:space="preserve">“</w:t>
      </w:r>
      <w:r>
        <w:t xml:space="preserve">Mahler, Wang &amp; Weber (2026)</w:t>
      </w:r>
      <w:r>
        <w:t xml:space="preserve">”</w:t>
      </w:r>
    </w:p>
    <w:p>
      <w:pPr>
        <w:numPr>
          <w:ilvl w:val="1"/>
          <w:numId w:val="1002"/>
        </w:numPr>
        <w:pStyle w:val="Compact"/>
      </w:pPr>
      <w:r>
        <w:t xml:space="preserve">Atlas overview/statistics:</w:t>
      </w:r>
      <w:r>
        <w:t xml:space="preserve"> </w:t>
      </w:r>
      <w:r>
        <w:t xml:space="preserve">“</w:t>
      </w:r>
      <w:r>
        <w:t xml:space="preserve">Pirlea et al. (2026 — Atlas)</w:t>
      </w:r>
      <w:r>
        <w:t xml:space="preserve">”</w:t>
      </w:r>
    </w:p>
    <w:p>
      <w:pPr>
        <w:numPr>
          <w:ilvl w:val="1"/>
          <w:numId w:val="1002"/>
        </w:numPr>
        <w:pStyle w:val="Compact"/>
      </w:pPr>
      <w:r>
        <w:t xml:space="preserve">Commodity markets blog:</w:t>
      </w:r>
      <w:r>
        <w:t xml:space="preserve"> </w:t>
      </w:r>
      <w:r>
        <w:t xml:space="preserve">“</w:t>
      </w:r>
      <w:r>
        <w:t xml:space="preserve">Agnolucci, Kenworthy &amp; Kose (2026)</w:t>
      </w:r>
      <w:r>
        <w:t xml:space="preserve">”</w:t>
      </w:r>
    </w:p>
    <w:p>
      <w:pPr>
        <w:numPr>
          <w:ilvl w:val="1"/>
          <w:numId w:val="1002"/>
        </w:numPr>
        <w:pStyle w:val="Compact"/>
      </w:pPr>
      <w:r>
        <w:t xml:space="preserve">AI financial supervision G20:</w:t>
      </w:r>
      <w:r>
        <w:t xml:space="preserve"> </w:t>
      </w:r>
      <w:r>
        <w:t xml:space="preserve">“</w:t>
      </w:r>
      <w:r>
        <w:t xml:space="preserve">Boeddu et al. (2025)</w:t>
      </w:r>
      <w:r>
        <w:t xml:space="preserve">”</w:t>
      </w:r>
    </w:p>
    <w:p>
      <w:pPr>
        <w:numPr>
          <w:ilvl w:val="0"/>
          <w:numId w:val="1001"/>
        </w:numPr>
        <w:pStyle w:val="Compact"/>
      </w:pPr>
      <w:r>
        <w:rPr>
          <w:bCs/>
          <w:b/>
        </w:rPr>
        <w:t xml:space="preserve">Trích dẫn classical theory (v2.4)</w:t>
      </w:r>
      <w:r>
        <w:t xml:space="preserve">:</w:t>
      </w:r>
      <w:r>
        <w:t xml:space="preserve"> </w:t>
      </w:r>
      <w:r>
        <w:t xml:space="preserve">“</w:t>
      </w:r>
      <w:r>
        <w:t xml:space="preserve">Dunning (1988)</w:t>
      </w:r>
      <w:r>
        <w:t xml:space="preserve">”</w:t>
      </w:r>
      <w:r>
        <w:t xml:space="preserve">,</w:t>
      </w:r>
      <w:r>
        <w:t xml:space="preserve"> </w:t>
      </w:r>
      <w:r>
        <w:t xml:space="preserve">“</w:t>
      </w:r>
      <w:r>
        <w:t xml:space="preserve">Williamson (2000)</w:t>
      </w:r>
      <w:r>
        <w:t xml:space="preserve">”</w:t>
      </w:r>
      <w:r>
        <w:t xml:space="preserve">,</w:t>
      </w:r>
      <w:r>
        <w:t xml:space="preserve"> </w:t>
      </w:r>
      <w:r>
        <w:t xml:space="preserve">“</w:t>
      </w:r>
      <w:r>
        <w:t xml:space="preserve">Aguinis, Hill &amp; Bailey (2019)</w:t>
      </w:r>
      <w:r>
        <w:t xml:space="preserve">”</w:t>
      </w:r>
      <w:r>
        <w:t xml:space="preserve">.</w:t>
      </w:r>
    </w:p>
    <w:p>
      <w:pPr>
        <w:numPr>
          <w:ilvl w:val="0"/>
          <w:numId w:val="1001"/>
        </w:numPr>
        <w:pStyle w:val="Compact"/>
      </w:pPr>
      <w:r>
        <w:rPr>
          <w:bCs/>
          <w:b/>
        </w:rPr>
        <w:t xml:space="preserve">Trích dẫn Section Q — Singapore ecosystem (v2.7)</w:t>
      </w:r>
      <w:r>
        <w:t xml:space="preserve">:</w:t>
      </w:r>
    </w:p>
    <w:p>
      <w:pPr>
        <w:numPr>
          <w:ilvl w:val="1"/>
          <w:numId w:val="1003"/>
        </w:numPr>
        <w:pStyle w:val="Compact"/>
      </w:pPr>
      <w:r>
        <w:t xml:space="preserve">SWITCH 2025:</w:t>
      </w:r>
      <w:r>
        <w:t xml:space="preserve"> </w:t>
      </w:r>
      <w:r>
        <w:t xml:space="preserve">“</w:t>
      </w:r>
      <w:r>
        <w:t xml:space="preserve">Enterprise Singapore (2025)</w:t>
      </w:r>
      <w:r>
        <w:t xml:space="preserve">”</w:t>
      </w:r>
    </w:p>
    <w:p>
      <w:pPr>
        <w:numPr>
          <w:ilvl w:val="1"/>
          <w:numId w:val="1003"/>
        </w:numPr>
        <w:pStyle w:val="Compact"/>
      </w:pPr>
      <w:r>
        <w:t xml:space="preserve">Digital government rankings:</w:t>
      </w:r>
      <w:r>
        <w:t xml:space="preserve"> </w:t>
      </w:r>
      <w:r>
        <w:t xml:space="preserve">“</w:t>
      </w:r>
      <w:r>
        <w:t xml:space="preserve">GovTech Singapore (2024)</w:t>
      </w:r>
      <w:r>
        <w:t xml:space="preserve">”</w:t>
      </w:r>
    </w:p>
    <w:p>
      <w:pPr>
        <w:numPr>
          <w:ilvl w:val="1"/>
          <w:numId w:val="1003"/>
        </w:numPr>
        <w:pStyle w:val="Compact"/>
      </w:pPr>
      <w:r>
        <w:t xml:space="preserve">ATxSG summit:</w:t>
      </w:r>
      <w:r>
        <w:t xml:space="preserve"> </w:t>
      </w:r>
      <w:r>
        <w:t xml:space="preserve">“</w:t>
      </w:r>
      <w:r>
        <w:t xml:space="preserve">IMDA (2025)</w:t>
      </w:r>
      <w:r>
        <w:t xml:space="preserve">”</w:t>
      </w:r>
    </w:p>
    <w:p>
      <w:pPr>
        <w:numPr>
          <w:ilvl w:val="1"/>
          <w:numId w:val="1003"/>
        </w:numPr>
        <w:pStyle w:val="Compact"/>
      </w:pPr>
      <w:r>
        <w:t xml:space="preserve">Startup ecosystem rank:</w:t>
      </w:r>
      <w:r>
        <w:t xml:space="preserve"> </w:t>
      </w:r>
      <w:r>
        <w:t xml:space="preserve">“</w:t>
      </w:r>
      <w:r>
        <w:t xml:space="preserve">StartupBlink (2025)</w:t>
      </w:r>
      <w:r>
        <w:t xml:space="preserve">”</w:t>
      </w:r>
      <w:r>
        <w:t xml:space="preserve"> </w:t>
      </w:r>
      <w:r>
        <w:t xml:space="preserve">or</w:t>
      </w:r>
      <w:r>
        <w:t xml:space="preserve"> </w:t>
      </w:r>
      <w:r>
        <w:t xml:space="preserve">“</w:t>
      </w:r>
      <w:r>
        <w:t xml:space="preserve">StartupBlink (2026)</w:t>
      </w:r>
      <w:r>
        <w:t xml:space="preserve">”</w:t>
      </w:r>
      <w:r>
        <w:t xml:space="preserve"> </w:t>
      </w:r>
      <w:r>
        <w:t xml:space="preserve">(specify year for disambiguation)</w:t>
      </w:r>
    </w:p>
    <w:p>
      <w:pPr>
        <w:numPr>
          <w:ilvl w:val="0"/>
          <w:numId w:val="1001"/>
        </w:numPr>
        <w:pStyle w:val="Compact"/>
      </w:pPr>
      <w:r>
        <w:rPr>
          <w:bCs/>
          <w:b/>
        </w:rPr>
        <w:t xml:space="preserve">Trích dẫn Section T — WB Working Papers 2015/2026 (v2.9)</w:t>
      </w:r>
      <w:r>
        <w:t xml:space="preserve">:</w:t>
      </w:r>
    </w:p>
    <w:p>
      <w:pPr>
        <w:numPr>
          <w:ilvl w:val="1"/>
          <w:numId w:val="1004"/>
        </w:numPr>
        <w:pStyle w:val="Compact"/>
      </w:pPr>
      <w:r>
        <w:t xml:space="preserve">Vietnam firm LP + export demand:</w:t>
      </w:r>
      <w:r>
        <w:t xml:space="preserve"> </w:t>
      </w:r>
      <w:r>
        <w:t xml:space="preserve">“</w:t>
      </w:r>
      <w:r>
        <w:t xml:space="preserve">Agarwal, Barattieri, &amp; Mattoo (2026)</w:t>
      </w:r>
      <w:r>
        <w:t xml:space="preserve">”</w:t>
      </w:r>
      <w:r>
        <w:t xml:space="preserve"> </w:t>
      </w:r>
      <w:r>
        <w:t xml:space="preserve">[WPS11352]</w:t>
      </w:r>
    </w:p>
    <w:p>
      <w:pPr>
        <w:numPr>
          <w:ilvl w:val="1"/>
          <w:numId w:val="1004"/>
        </w:numPr>
        <w:pStyle w:val="Compact"/>
      </w:pPr>
      <w:r>
        <w:t xml:space="preserve">Vietnam trade liberalization → productivity:</w:t>
      </w:r>
      <w:r>
        <w:t xml:space="preserve"> </w:t>
      </w:r>
      <w:r>
        <w:t xml:space="preserve">“</w:t>
      </w:r>
      <w:r>
        <w:t xml:space="preserve">Barattieri, Mattoo, &amp; Signoret (2026)</w:t>
      </w:r>
      <w:r>
        <w:t xml:space="preserve">”</w:t>
      </w:r>
      <w:r>
        <w:t xml:space="preserve"> </w:t>
      </w:r>
      <w:r>
        <w:t xml:space="preserve">[WPS11354]</w:t>
      </w:r>
    </w:p>
    <w:p>
      <w:pPr>
        <w:numPr>
          <w:ilvl w:val="1"/>
          <w:numId w:val="1004"/>
        </w:numPr>
        <w:pStyle w:val="Compact"/>
      </w:pPr>
      <w:r>
        <w:t xml:space="preserve">Electricity &amp; firm performance 183 countries:</w:t>
      </w:r>
      <w:r>
        <w:t xml:space="preserve"> </w:t>
      </w:r>
      <w:r>
        <w:t xml:space="preserve">“</w:t>
      </w:r>
      <w:r>
        <w:t xml:space="preserve">Geginat &amp; Ramalho (2015)</w:t>
      </w:r>
      <w:r>
        <w:t xml:space="preserve">”</w:t>
      </w:r>
      <w:r>
        <w:t xml:space="preserve"> </w:t>
      </w:r>
      <w:r>
        <w:t xml:space="preserve">[WPS7460]</w:t>
      </w:r>
    </w:p>
    <w:p>
      <w:pPr>
        <w:numPr>
          <w:ilvl w:val="1"/>
          <w:numId w:val="1004"/>
        </w:numPr>
        <w:pStyle w:val="Compact"/>
      </w:pPr>
      <w:r>
        <w:t xml:space="preserve">Institutional capacity framework:</w:t>
      </w:r>
      <w:r>
        <w:t xml:space="preserve"> </w:t>
      </w:r>
      <w:r>
        <w:t xml:space="preserve">“</w:t>
      </w:r>
      <w:r>
        <w:t xml:space="preserve">Kim, Kumar, Ramalho, &amp; Russell (2026)</w:t>
      </w:r>
      <w:r>
        <w:t xml:space="preserve">”</w:t>
      </w:r>
      <w:r>
        <w:t xml:space="preserve"> </w:t>
      </w:r>
      <w:r>
        <w:t xml:space="preserve">[WPS11279]</w:t>
      </w:r>
    </w:p>
    <w:p>
      <w:pPr>
        <w:numPr>
          <w:ilvl w:val="1"/>
          <w:numId w:val="1004"/>
        </w:numPr>
        <w:pStyle w:val="Compact"/>
      </w:pPr>
      <w:r>
        <w:t xml:space="preserve">World slowest development 75 years:</w:t>
      </w:r>
      <w:r>
        <w:t xml:space="preserve"> </w:t>
      </w:r>
      <w:r>
        <w:rPr>
          <w:bCs/>
          <w:b/>
        </w:rPr>
        <w:t xml:space="preserve">“</w:t>
      </w:r>
      <w:r>
        <w:rPr>
          <w:bCs/>
          <w:b/>
        </w:rPr>
        <w:t xml:space="preserve">Mahler et al. (2026b)</w:t>
      </w:r>
      <w:r>
        <w:rPr>
          <w:bCs/>
          <w:b/>
        </w:rPr>
        <w:t xml:space="preserve">”</w:t>
      </w:r>
      <w:r>
        <w:t xml:space="preserve"> </w:t>
      </w:r>
      <w:r>
        <w:t xml:space="preserve">[WPS11350] —</w:t>
      </w:r>
      <w:r>
        <w:t xml:space="preserve"> </w:t>
      </w:r>
      <w:r>
        <w:rPr>
          <w:bCs/>
          <w:b/>
        </w:rPr>
        <w:t xml:space="preserve">b suffix</w:t>
      </w:r>
      <w:r>
        <w:t xml:space="preserve"> </w:t>
      </w:r>
      <w:r>
        <w:t xml:space="preserve">phân biệt với</w:t>
      </w:r>
      <w:r>
        <w:t xml:space="preserve"> </w:t>
      </w:r>
      <w:r>
        <w:t xml:space="preserve">“</w:t>
      </w:r>
      <w:r>
        <w:t xml:space="preserve">Mahler, Wang &amp; Weber (2026)</w:t>
      </w:r>
      <w:r>
        <w:t xml:space="preserve">”</w:t>
      </w:r>
      <w:r>
        <w:t xml:space="preserve"> </w:t>
      </w:r>
      <w:r>
        <w:t xml:space="preserve">[Atlas chapter, Section P]</w:t>
      </w:r>
    </w:p>
    <w:bookmarkEnd w:id="40"/>
    <w:bookmarkStart w:id="41" w:name="khi-nộp-bản-cuối"/>
    <w:p>
      <w:pPr>
        <w:pStyle w:val="Heading3"/>
      </w:pPr>
      <w:r>
        <w:t xml:space="preserve">Khi nộp bản cuối</w:t>
      </w:r>
    </w:p>
    <w:p>
      <w:pPr>
        <w:numPr>
          <w:ilvl w:val="0"/>
          <w:numId w:val="1005"/>
        </w:numPr>
        <w:pStyle w:val="Compact"/>
      </w:pPr>
      <w:r>
        <w:t xml:space="preserve">Xác minh DOI trên Crossref hoặc trang publisher cho các entry không quen thuộc.</w:t>
      </w:r>
    </w:p>
    <w:p>
      <w:pPr>
        <w:numPr>
          <w:ilvl w:val="0"/>
          <w:numId w:val="1005"/>
        </w:numPr>
        <w:pStyle w:val="Compact"/>
      </w:pPr>
      <w:r>
        <w:t xml:space="preserve">Kiểm tra nhất quán italic và punctuation theo APA 7th.</w:t>
      </w:r>
    </w:p>
    <w:p>
      <w:pPr>
        <w:numPr>
          <w:ilvl w:val="0"/>
          <w:numId w:val="1005"/>
        </w:numPr>
        <w:pStyle w:val="Compact"/>
      </w:pPr>
      <w:r>
        <w:t xml:space="preserve">Yang et al. (2025) JBR: hiện chưa verify được volume/pages — cần kiểm tra Crossref hoặc loại bỏ.</w:t>
      </w:r>
    </w:p>
    <w:p>
      <w:pPr>
        <w:numPr>
          <w:ilvl w:val="0"/>
          <w:numId w:val="1005"/>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05"/>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05"/>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41"/>
    <w:bookmarkStart w:id="42" w:name="audit-warnings-status-cập-nhật-v2.5"/>
    <w:p>
      <w:pPr>
        <w:pStyle w:val="Heading3"/>
      </w:pPr>
      <w:r>
        <w:t xml:space="preserve">Audit warnings status (cập nhật v2.5)</w:t>
      </w:r>
    </w:p>
    <w:p>
      <w:pPr>
        <w:pStyle w:val="FirstParagraph"/>
      </w:pPr>
      <w:r>
        <w:rPr>
          <w:bCs/>
          <w:b/>
        </w:rPr>
        <w:t xml:space="preserve">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42"/>
    <w:bookmarkEnd w:id="43"/>
    <w:bookmarkStart w:id="44" w:name="Xe55fb46d00de6bf9b95fd9179798e6474c95835"/>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bookmarkEnd w:id="44"/>
    <w:bookmarkStart w:id="45" w:name="Xd7e1b1ec1596ddfb204126def34f28100020172"/>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https://doi.org/10.1016/j.jwb.2017.11.002</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bookmarkEnd w:id="45"/>
    <w:bookmarkStart w:id="46" w:name="Xac3469c407a51be8ab1bf290cd8561897ea439c"/>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bookmarkEnd w:id="46"/>
    <w:bookmarkStart w:id="47" w:name="X15e01107f5fc0341333f11988493a9502b35627"/>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47"/>
    <w:bookmarkStart w:id="51" w:name="X5cd8a8b98c5930790a226592bde9793b6e0e242"/>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w:t>
      </w:r>
      <w:r>
        <w:t xml:space="preserve"> </w:t>
      </w:r>
      <w:r>
        <w:t xml:space="preserve">“</w:t>
      </w:r>
      <w:r>
        <w:t xml:space="preserve">Giữ nguyên</w:t>
      </w:r>
      <w:r>
        <w:t xml:space="preserve">”</w:t>
      </w:r>
      <w:r>
        <w:t xml:space="preserve"> </w:t>
      </w:r>
      <w:r>
        <w:t xml:space="preserve">blocks chưa được expand, và 2 auxiliary entries.</w:t>
      </w:r>
    </w:p>
    <w:bookmarkStart w:id="48" w:name="X041759103c7c799db9799d6bd71834307a428c8"/>
    <w:p>
      <w:pPr>
        <w:pStyle w:val="Heading3"/>
      </w:pPr>
      <w:r>
        <w:t xml:space="preserve">Công trình của tác giả luận án — Cập nhật Section M</w:t>
      </w:r>
    </w:p>
    <w:p>
      <w:pPr>
        <w:pStyle w:val="FirstParagraph"/>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(2026a). Firm performance heterogeneity in emerging Asia: Evidence from World Bank Enterprise Surveys.</w:t>
      </w:r>
      <w:r>
        <w:t xml:space="preserve"> </w:t>
      </w:r>
      <w:r>
        <w:rPr>
          <w:iCs/>
          <w:i/>
        </w:rPr>
        <w:t xml:space="preserve">Vietnam Economic &amp; Financial Review</w:t>
      </w:r>
      <w:r>
        <w:t xml:space="preserve">,</w:t>
      </w:r>
      <w:r>
        <w:t xml:space="preserve"> </w:t>
      </w:r>
      <w:r>
        <w:rPr>
          <w:iCs/>
          <w:i/>
        </w:rPr>
        <w:t xml:space="preserve">2</w:t>
      </w:r>
      <w:r>
        <w:t xml:space="preserve">(1), 111-115.</w:t>
      </w:r>
      <w:r>
        <w:t xml:space="preserve"> </w:t>
      </w:r>
      <w:r>
        <w:rPr>
          <w:iCs/>
          <w:i/>
        </w:rPr>
        <w:t xml:space="preserve">(P1 — VEFR, đã công bố.)</w:t>
      </w:r>
    </w:p>
    <w:p>
      <w:pPr>
        <w:pStyle w:val="BodyText"/>
      </w:pPr>
      <w:r>
        <w:t xml:space="preserve">Do, T. H., &amp; Phan, A. T. (2026b).</w:t>
      </w:r>
      <w:r>
        <w:t xml:space="preserve"> </w:t>
      </w:r>
      <w:r>
        <w:rPr>
          <w:iCs/>
          <w:i/>
        </w:rPr>
        <w:t xml:space="preserve">Forced internationalization penalty: Firm performance in Pacific small island developing states</w:t>
      </w:r>
      <w:r>
        <w:t xml:space="preserve"> </w:t>
      </w:r>
      <w:r>
        <w:t xml:space="preserve">[Manuscript under review].</w:t>
      </w:r>
      <w:r>
        <w:t xml:space="preserve"> </w:t>
      </w:r>
      <w:r>
        <w:rPr>
          <w:iCs/>
          <w:i/>
        </w:rPr>
        <w:t xml:space="preserve">World Development</w:t>
      </w:r>
      <w:r>
        <w:t xml:space="preserve">.</w:t>
      </w:r>
      <w:r>
        <w:t xml:space="preserve"> </w:t>
      </w:r>
      <w:r>
        <w:rPr>
          <w:iCs/>
          <w:i/>
        </w:rPr>
        <w:t xml:space="preserve">(P8 — Pacific SIDS, World Development under review.)</w:t>
      </w:r>
    </w:p>
    <w:p>
      <w:pPr>
        <w:pStyle w:val="BodyText"/>
      </w:pPr>
      <w:r>
        <w:t xml:space="preserve">Do, T. H., &amp; Phan, A. T. (2026c).</w:t>
      </w:r>
      <w:r>
        <w:t xml:space="preserve"> </w:t>
      </w:r>
      <w:r>
        <w:rPr>
          <w:iCs/>
          <w:i/>
        </w:rPr>
        <w:t xml:space="preserve">Institutional context, digital adoption, and the internationalization-performance relationship: A three-level meta-analysis</w:t>
      </w:r>
      <w:r>
        <w:t xml:space="preserve"> </w:t>
      </w:r>
      <w:r>
        <w:t xml:space="preserve">[Manuscript under review].</w:t>
      </w:r>
      <w:r>
        <w:t xml:space="preserve"> </w:t>
      </w:r>
      <w:r>
        <w:rPr>
          <w:iCs/>
          <w:i/>
        </w:rPr>
        <w:t xml:space="preserve">International Business Review</w:t>
      </w:r>
      <w:r>
        <w:t xml:space="preserve">.</w:t>
      </w:r>
      <w:r>
        <w:t xml:space="preserve"> </w:t>
      </w:r>
      <w:r>
        <w:rPr>
          <w:iCs/>
          <w:i/>
        </w:rPr>
        <w:t xml:space="preserve">(P6 — Meta-analysis, IBR under review.)</w:t>
      </w:r>
    </w:p>
    <w:p>
      <w:pPr>
        <w:pStyle w:val="BodyText"/>
      </w:pPr>
      <w:r>
        <w:t xml:space="preserve">Do, T. H., &amp; Phan, A. T. (2026d).</w:t>
      </w:r>
      <w:r>
        <w:t xml:space="preserve"> </w:t>
      </w:r>
      <w:r>
        <w:rPr>
          <w:iCs/>
          <w:i/>
        </w:rPr>
        <w:t xml:space="preserve">Internationalization and firm performance across 49 Asian and Pacific economies: Institutional regimes, digital capabilities, and managerial characteristics as contingency factors</w:t>
      </w:r>
      <w:r>
        <w:t xml:space="preserve"> </w:t>
      </w:r>
      <w:r>
        <w:t xml:space="preserve">[Manuscript under revision].</w:t>
      </w:r>
      <w:r>
        <w:t xml:space="preserve"> </w:t>
      </w:r>
      <w:r>
        <w:rPr>
          <w:iCs/>
          <w:i/>
        </w:rPr>
        <w:t xml:space="preserve">Journal of International Business Studies</w:t>
      </w:r>
      <w:r>
        <w:t xml:space="preserve">.</w:t>
      </w:r>
      <w:r>
        <w:t xml:space="preserve"> </w:t>
      </w:r>
      <w:r>
        <w:rPr>
          <w:iCs/>
          <w:i/>
        </w:rPr>
        <w:t xml:space="preserve">(P7 — Đa quốc gia 49 nền kinh tế, JIBS under revision.)</w:t>
      </w:r>
    </w:p>
    <w:p>
      <w:pPr>
        <w:pStyle w:val="BodyText"/>
      </w:pPr>
      <w:r>
        <w:t xml:space="preserve">Do, T. H., &amp; Phan, A. T. (2026e).</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w:t>
      </w:r>
      <w:r>
        <w:t xml:space="preserve"> </w:t>
      </w:r>
      <w:r>
        <w:rPr>
          <w:iCs/>
          <w:i/>
        </w:rPr>
        <w:t xml:space="preserve">(P3 — Việt Nam, JABS under review.)</w:t>
      </w:r>
    </w:p>
    <w:p>
      <w:pPr>
        <w:pStyle w:val="BodyText"/>
      </w:pPr>
      <w:r>
        <w:t xml:space="preserve">Do, T. H., &amp; Phan, A. T. (2026f).</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w:t>
      </w:r>
      <w:r>
        <w:t xml:space="preserve"> </w:t>
      </w:r>
      <w:r>
        <w:rPr>
          <w:iCs/>
          <w:i/>
        </w:rPr>
        <w:t xml:space="preserve">(P5 — Trung Quốc, IJOEM under review.)</w:t>
      </w:r>
    </w:p>
    <w:p>
      <w:pPr>
        <w:pStyle w:val="BodyText"/>
      </w:pPr>
      <w:r>
        <w:t xml:space="preserve">Do, T. H., &amp; Phan, A. T. (2026g). Unveiling the impact of Chinese manufacturing SMEs’ internationalization on performance.</w:t>
      </w:r>
      <w:r>
        <w:t xml:space="preserve"> </w:t>
      </w:r>
      <w:r>
        <w:rPr>
          <w:iCs/>
          <w:i/>
        </w:rPr>
        <w:t xml:space="preserve">Journal of Finance &amp; Accounting Research</w:t>
      </w:r>
      <w:r>
        <w:t xml:space="preserve">,</w:t>
      </w:r>
      <w:r>
        <w:t xml:space="preserve"> </w:t>
      </w:r>
      <w:r>
        <w:rPr>
          <w:iCs/>
          <w:i/>
        </w:rPr>
        <w:t xml:space="preserve">39</w:t>
      </w:r>
      <w:r>
        <w:t xml:space="preserve">(2), 287-291.</w:t>
      </w:r>
      <w:r>
        <w:t xml:space="preserve"> </w:t>
      </w:r>
      <w:r>
        <w:rPr>
          <w:iCs/>
          <w:i/>
        </w:rPr>
        <w:t xml:space="preserve">(P2 — JFAR, đã công bố.)</w:t>
      </w:r>
    </w:p>
    <w:bookmarkEnd w:id="48"/>
    <w:bookmarkStart w:id="49" w:name="X03425170776bdc22411e9d4a6a3935a0796568a"/>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bookmarkEnd w:id="49"/>
    <w:bookmarkStart w:id="50"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bookmarkEnd w:id="50"/>
    <w:bookmarkEnd w:id="51"/>
    <w:bookmarkEnd w:id="5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2026-05-25T09:13:42Z</dcterms:created>
  <dcterms:modified xsi:type="dcterms:W3CDTF">2026-05-25T09:13:42Z</dcterms:modified>
</cp:coreProperties>
</file>

<file path=docProps/custom.xml><?xml version="1.0" encoding="utf-8"?>
<Properties xmlns="http://schemas.openxmlformats.org/officeDocument/2006/custom-properties" xmlns:vt="http://schemas.openxmlformats.org/officeDocument/2006/docPropsVTypes"/>
</file>