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12 May 2026</w:t>
      </w:r>
    </w:p>
    <w:p>
      <w:pPr>
        <w:pStyle w:val="BodyText"/>
      </w:pPr>
      <w:r>
        <w:t xml:space="preserve">The Editor-in-Chief</w:t>
      </w:r>
      <w:r>
        <w:t xml:space="preserve"> </w:t>
      </w:r>
      <w:r>
        <w:rPr>
          <w:iCs/>
          <w:i/>
        </w:rPr>
        <w:t xml:space="preserve">Journal of Asia Business Studies</w:t>
      </w:r>
      <w:r>
        <w:t xml:space="preserve"> </w:t>
      </w:r>
      <w:r>
        <w:t xml:space="preserve">Emerald Publishing</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Revisiting the Internationalisation–Performance Relationship in an Emerging Market: The Roles of Technological Capability and Foundational Digital Adoption</w:t>
      </w:r>
      <w:r>
        <w:rPr>
          <w:bCs/>
          <w:b/>
        </w:rPr>
        <w:t xml:space="preserve">”</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Asia Business Studies</w:t>
      </w:r>
      <w:r>
        <w:t xml:space="preserve"> </w:t>
      </w:r>
      <w:r>
        <w:t xml:space="preserve">(JABS).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JABS</w:t>
      </w:r>
    </w:p>
    <w:p>
      <w:pPr>
        <w:pStyle w:val="BodyText"/>
      </w:pPr>
      <w:r>
        <w:t xml:space="preserve">JABS is the natural venue for this work. The manuscript addresses a phenomenon that is specifically Asian in character: the conditions under which foundational digital adoption drives — or fails to drive — export-led productivity gains in a transitional lower-middle-income economy undergoing rapid institutional change. Vietnam represents exactly the kind of single-country, phenomenon-driven context that JABS prizes: analytically informative, theoretically productive, and practically consequential for policy design in comparable economies across the ASEAN development spectrum. The three-wave design (spanning WTO accession in 2007, CPTPP ratification in 2019, and the post-COVID digital economy push in 2023) positions Vietnam as a leading-indicator case for emerging economies whose institutional trajectories lag by five to fifteen years. The paper can be read as a boundary-condition test of the positive I–P average documented in cross-country meta-analyses (Wu, Fan, &amp; Chen, 2022,</w:t>
      </w:r>
      <w:r>
        <w:t xml:space="preserve"> </w:t>
      </w:r>
      <w:r>
        <w:rPr>
          <w:iCs/>
          <w:i/>
        </w:rPr>
        <w:t xml:space="preserve">Management International Review</w:t>
      </w:r>
      <w:r>
        <w:t xml:space="preserve">): Vietnam’s within-country evidence confirms that functional-form heterogeneity is preserved at the single-country level in ways that pooled cross-national estimates obscure.</w:t>
      </w:r>
    </w:p>
    <w:p>
      <w:pPr>
        <w:pStyle w:val="BodyText"/>
      </w:pPr>
      <w:r>
        <w:rPr>
          <w:bCs/>
          <w:b/>
        </w:rPr>
        <w:t xml:space="preserve">Key Contributions</w:t>
      </w:r>
    </w:p>
    <w:p>
      <w:pPr>
        <w:pStyle w:val="BodyText"/>
      </w:pPr>
      <w:r>
        <w:t xml:space="preserve">First, the study provides multi-wave within-country evidence that the inverted-U between export intensity and labour productivity is structurally durable: turning points cluster at 39–46% across all three waves (Lind–Mehlum test p ≤ .013 per wave; p &lt; .001 pooled), a 7-percentage-point band sustained through 14 years of major institutional change. This durability — confirmed against Pisani, Garcia-Bernardo, and Heemskerk’s (2020,</w:t>
      </w:r>
      <w:r>
        <w:t xml:space="preserve"> </w:t>
      </w:r>
      <w:r>
        <w:rPr>
          <w:iCs/>
          <w:i/>
        </w:rPr>
        <w:t xml:space="preserve">Strategic Management Journal</w:t>
      </w:r>
      <w:r>
        <w:t xml:space="preserve">) cross-national skepticism — is most informative as a boundary-condition finding rather than a replication, because it establishes that single-country institutional contexts preserve functional-form regularity that cross-national pooling obscures.</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JABS’s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College of Economics, Can Tho University (CTU), Vietnam</w:t>
      </w:r>
      <w:r>
        <w:t xml:space="preserve"> </w:t>
      </w:r>
      <w:r>
        <w:t xml:space="preserve">Email: huongp1323001@gstudent.ctu.edu.vn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2026-05-14T10:22:57Z</dcterms:created>
  <dcterms:modified xsi:type="dcterms:W3CDTF">2026-05-14T10:22:57Z</dcterms:modified>
</cp:coreProperties>
</file>

<file path=docProps/custom.xml><?xml version="1.0" encoding="utf-8"?>
<Properties xmlns="http://schemas.openxmlformats.org/officeDocument/2006/custom-properties" xmlns:vt="http://schemas.openxmlformats.org/officeDocument/2006/docPropsVTypes"/>
</file>