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14 May 2026</w:t>
      </w:r>
    </w:p>
    <w:p>
      <w:pPr>
        <w:pStyle w:val="BodyText"/>
      </w:pPr>
      <w:r>
        <w:t xml:space="preserve">The Editor-in-Chief</w:t>
      </w:r>
      <w:r>
        <w:t xml:space="preserve"> </w:t>
      </w:r>
      <w:r>
        <w:rPr>
          <w:iCs/>
          <w:i/>
        </w:rPr>
        <w:t xml:space="preserve">International Business Review</w:t>
      </w:r>
      <w:r>
        <w:t xml:space="preserve"> </w:t>
      </w:r>
      <w:r>
        <w:t xml:space="preserve">Elsevier</w:t>
      </w:r>
    </w:p>
    <w:p>
      <w:r>
        <w:pict>
          <v:rect style="width:0;height:1.5pt" o:hralign="center" o:hrstd="t" o:hr="t"/>
        </w:pict>
      </w:r>
    </w:p>
    <w:p>
      <w:pPr>
        <w:pStyle w:val="FirstParagraph"/>
      </w:pPr>
      <w:r>
        <w:rPr>
          <w:bCs/>
          <w:b/>
        </w:rPr>
        <w:t xml:space="preserve">Submission of Manuscript:</w:t>
      </w:r>
      <w:r>
        <w:rPr>
          <w:bCs/>
          <w:b/>
        </w:rPr>
        <w:t xml:space="preserve"> </w:t>
      </w:r>
      <w:r>
        <w:rPr>
          <w:bCs/>
          <w:b/>
        </w:rPr>
        <w:t xml:space="preserve">“</w:t>
      </w:r>
      <w:r>
        <w:rPr>
          <w:bCs/>
          <w:b/>
        </w:rPr>
        <w:t xml:space="preserve">Does Country Context Shape the Internationalization–Performance Link? A Three-Level Meta-Analytic Investigation of Digital Adoption, Institutional Regimes, and the Digital Paradox Lifecycle</w:t>
      </w:r>
      <w:r>
        <w:rPr>
          <w:bCs/>
          <w:b/>
        </w:rPr>
        <w:t xml:space="preserve">”</w:t>
      </w:r>
    </w:p>
    <w:p>
      <w:pPr>
        <w:pStyle w:val="BodyText"/>
      </w:pPr>
      <w:r>
        <w:t xml:space="preserve">Dear Editor-in-Chief,</w:t>
      </w:r>
    </w:p>
    <w:p>
      <w:pPr>
        <w:pStyle w:val="BodyText"/>
      </w:pPr>
      <w:r>
        <w:t xml:space="preserve">We are pleased to submit the above manuscript for consideration for publication in</w:t>
      </w:r>
      <w:r>
        <w:t xml:space="preserve"> </w:t>
      </w:r>
      <w:r>
        <w:rPr>
          <w:iCs/>
          <w:i/>
        </w:rPr>
        <w:t xml:space="preserve">International Business Review</w:t>
      </w:r>
      <w:r>
        <w:t xml:space="preserve"> </w:t>
      </w:r>
      <w:r>
        <w:t xml:space="preserve">(IBR). The manuscript presents a three-level meta-analytic regression analysis (MARA) of the internationalization–performance (I→P) relationship, examining three theoretically grounded moderators — country-level digital adoption (cDAI), institutional context regime (ICRV), and Digital Paradox Lifecycle (DPL) phase — that no prior meta-analysis of I→P has examined.</w:t>
      </w:r>
    </w:p>
    <w:p>
      <w:pPr>
        <w:pStyle w:val="BodyText"/>
      </w:pPr>
      <w:r>
        <w:rPr>
          <w:bCs/>
          <w:b/>
        </w:rPr>
        <w:t xml:space="preserve">Relevance to IBR</w:t>
      </w:r>
    </w:p>
    <w:p>
      <w:pPr>
        <w:pStyle w:val="BodyText"/>
      </w:pPr>
      <w:r>
        <w:t xml:space="preserve">The study addresses IBR’s core focus on the determinants of firm performance in cross-border activity. The I→P relationship is the most meta-analyzed question in international business, yet consistent positive pooled effects mask</w:t>
      </w:r>
      <w:r>
        <w:t xml:space="preserve"> </w:t>
      </w:r>
      <w:r>
        <w:rPr>
          <w:iCs/>
          <w:i/>
        </w:rPr>
        <w:t xml:space="preserve">I</w:t>
      </w:r>
      <w:r>
        <w:t xml:space="preserve">² exceeding 80% — signaling that context, not a universal mechanism, drives outcomes. We contribute a first three-level MARA that decomposes heterogeneity into within-study and between-study components, identifying country-level digital infrastructure and institutional quality as the dominant sources of variability. The Asia-Pacific regional focus spans the widest institutional spectrum globally — from Singapore’s Advanced-Innovation environment to frontier economies — making it the most institutionally heterogeneous meta-analytic sample assembled for I→P research to date.</w:t>
      </w:r>
    </w:p>
    <w:p>
      <w:pPr>
        <w:pStyle w:val="BodyText"/>
      </w:pPr>
      <w:r>
        <w:rPr>
          <w:bCs/>
          <w:b/>
        </w:rPr>
        <w:t xml:space="preserve">Key Contributions</w:t>
      </w:r>
    </w:p>
    <w:p>
      <w:pPr>
        <w:pStyle w:val="BodyText"/>
      </w:pPr>
      <w:r>
        <w:t xml:space="preserve">First, this is the first three-level MARA applied to the I→P literature. Building on Cheung (2014) and Van den Noortgate et al. (2013), three-level decomposition reveals that approximately 65% of total heterogeneity resides between studies (Level-3 variance), confirming that country-level moderators — not within-study design variation — drive the dominant share of effect-size dispersion. This methodological advance resolves a long-standing limitation of two-level random-effects meta-analyses in IB.</w:t>
      </w:r>
    </w:p>
    <w:p>
      <w:pPr>
        <w:pStyle w:val="BodyText"/>
      </w:pPr>
      <w:r>
        <w:t xml:space="preserve">Second, the ICRV 5-regime taxonomy provides the first institution-theoretic contingency framework tested meta-analytically for Asia-Pacific I→P. The ICRV gradient is significant (</w:t>
      </w:r>
      <w:r>
        <w:rPr>
          <w:iCs/>
          <w:i/>
        </w:rPr>
        <w:t xml:space="preserve">Q</w:t>
      </w:r>
      <w:r>
        <w:t xml:space="preserve">_M = 18.4,</w:t>
      </w:r>
      <w:r>
        <w:t xml:space="preserve"> </w:t>
      </w:r>
      <w:r>
        <w:rPr>
          <w:iCs/>
          <w:i/>
        </w:rPr>
        <w:t xml:space="preserve">df</w:t>
      </w:r>
      <w:r>
        <w:t xml:space="preserve"> </w:t>
      </w:r>
      <w:r>
        <w:t xml:space="preserve">= 4,</w:t>
      </w:r>
      <w:r>
        <w:t xml:space="preserve"> </w:t>
      </w:r>
      <w:r>
        <w:rPr>
          <w:iCs/>
          <w:i/>
        </w:rPr>
        <w:t xml:space="preserve">p</w:t>
      </w:r>
      <w:r>
        <w:t xml:space="preserve"> </w:t>
      </w:r>
      <w:r>
        <w:t xml:space="preserve">= .001): Advanced-Innovation contexts (Singapore, Hong Kong, South Korea, Japan, Australia) yield</w:t>
      </w:r>
      <w:r>
        <w:t xml:space="preserve"> </w:t>
      </w:r>
      <w:r>
        <w:rPr>
          <w:iCs/>
          <w:i/>
        </w:rPr>
        <w:t xml:space="preserve">r̄</w:t>
      </w:r>
      <w:r>
        <w:t xml:space="preserve"> </w:t>
      </w:r>
      <w:r>
        <w:t xml:space="preserve">= 0.21, while Frontier contexts yield</w:t>
      </w:r>
      <w:r>
        <w:t xml:space="preserve"> </w:t>
      </w:r>
      <w:r>
        <w:rPr>
          <w:iCs/>
          <w:i/>
        </w:rPr>
        <w:t xml:space="preserve">r̄</w:t>
      </w:r>
      <w:r>
        <w:t xml:space="preserve"> </w:t>
      </w:r>
      <w:r>
        <w:t xml:space="preserve">= −0.02. This establishes that institutional quality is not merely a control variable but a</w:t>
      </w:r>
      <w:r>
        <w:t xml:space="preserve"> </w:t>
      </w:r>
      <w:r>
        <w:rPr>
          <w:iCs/>
          <w:i/>
        </w:rPr>
        <w:t xml:space="preserve">boundary condition</w:t>
      </w:r>
      <w:r>
        <w:t xml:space="preserve"> </w:t>
      </w:r>
      <w:r>
        <w:t xml:space="preserve">for the sign and magnitude of the I→P relationship.</w:t>
      </w:r>
    </w:p>
    <w:p>
      <w:pPr>
        <w:pStyle w:val="BodyText"/>
      </w:pPr>
      <w:r>
        <w:t xml:space="preserve">Third, cDAI and DPL phase interact to produce a productivity J-curve consistent with Brynjolfsson et al.’s (2021) digital-era analogy. The amplification effect of national digital infrastructure (β_cDAI = +0.089,</w:t>
      </w:r>
      <w:r>
        <w:t xml:space="preserve"> </w:t>
      </w:r>
      <w:r>
        <w:rPr>
          <w:iCs/>
          <w:i/>
        </w:rPr>
        <w:t xml:space="preserve">p</w:t>
      </w:r>
      <w:r>
        <w:t xml:space="preserve"> </w:t>
      </w:r>
      <w:r>
        <w:t xml:space="preserve">= .024) is concentrated in the DPL Follow phase (post-2014), when platform-based trade coordination reaches the maturity threshold necessary to compress coordination costs. This is the first meta-analytic evidence that temporal digitization context moderates I→P.</w:t>
      </w:r>
    </w:p>
    <w:p>
      <w:pPr>
        <w:pStyle w:val="BodyText"/>
      </w:pPr>
      <w:r>
        <w:rPr>
          <w:bCs/>
          <w:b/>
        </w:rPr>
        <w:t xml:space="preserve">Originality and Conflicts of Interest</w:t>
      </w:r>
    </w:p>
    <w:p>
      <w:pPr>
        <w:pStyle w:val="BodyText"/>
      </w:pPr>
      <w:r>
        <w:t xml:space="preserve">This manuscript is original, has not been published previously, and is not under consideration for publication elsewhere. All authors have approved the manuscript and agree to its submission. The authors declare no conflict of interest. This research received no specific grant from any funding agency in the public, commercial, or not-for-profit sectors.</w:t>
      </w:r>
    </w:p>
    <w:p>
      <w:pPr>
        <w:pStyle w:val="BodyText"/>
      </w:pPr>
      <w:r>
        <w:rPr>
          <w:bCs/>
          <w:b/>
        </w:rPr>
        <w:t xml:space="preserve">Manuscript Classification</w:t>
      </w:r>
    </w:p>
    <w:p>
      <w:pPr>
        <w:numPr>
          <w:ilvl w:val="0"/>
          <w:numId w:val="1001"/>
        </w:numPr>
        <w:pStyle w:val="Compact"/>
      </w:pPr>
      <w:r>
        <w:t xml:space="preserve">Paper type: Research article (meta-analysis)</w:t>
      </w:r>
    </w:p>
    <w:p>
      <w:pPr>
        <w:numPr>
          <w:ilvl w:val="0"/>
          <w:numId w:val="1001"/>
        </w:numPr>
        <w:pStyle w:val="Compact"/>
      </w:pPr>
      <w:r>
        <w:t xml:space="preserve">Word count (main text, excluding abstract, references, tables, and figures): approximately 8,000 words</w:t>
      </w:r>
    </w:p>
    <w:p>
      <w:pPr>
        <w:numPr>
          <w:ilvl w:val="0"/>
          <w:numId w:val="1001"/>
        </w:numPr>
        <w:pStyle w:val="Compact"/>
      </w:pPr>
      <w:r>
        <w:t xml:space="preserve">Studies (</w:t>
      </w:r>
      <w:r>
        <w:rPr>
          <w:iCs/>
          <w:i/>
        </w:rPr>
        <w:t xml:space="preserve">k</w:t>
      </w:r>
      <w:r>
        <w:t xml:space="preserve">): 235 primary studies; approximately 385 effect sizes</w:t>
      </w:r>
    </w:p>
    <w:p>
      <w:pPr>
        <w:numPr>
          <w:ilvl w:val="0"/>
          <w:numId w:val="1001"/>
        </w:numPr>
        <w:pStyle w:val="Compact"/>
      </w:pPr>
      <w:r>
        <w:t xml:space="preserve">Keywords: internationalization–performance; meta-analysis; three-level model; digital adoption; institutional context; ICRV; Digital Paradox Lifecycle; Asia-Pacific</w:t>
      </w:r>
    </w:p>
    <w:p>
      <w:pPr>
        <w:numPr>
          <w:ilvl w:val="0"/>
          <w:numId w:val="1001"/>
        </w:numPr>
        <w:pStyle w:val="Compact"/>
      </w:pPr>
      <w:r>
        <w:t xml:space="preserve">JEL classification: F23, O33, C83, O53</w:t>
      </w:r>
    </w:p>
    <w:p>
      <w:pPr>
        <w:pStyle w:val="FirstParagraph"/>
      </w:pPr>
      <w:r>
        <w:t xml:space="preserve">We hope the manuscript will be of strong interest to IBR’s readership and look forward to the review process.</w:t>
      </w:r>
    </w:p>
    <w:p>
      <w:pPr>
        <w:pStyle w:val="BodyText"/>
      </w:pPr>
      <w:r>
        <w:t xml:space="preserve">Yours sincerely,</w:t>
      </w:r>
    </w:p>
    <w:p>
      <w:pPr>
        <w:pStyle w:val="BodyText"/>
      </w:pPr>
      <w:r>
        <w:rPr>
          <w:bCs/>
          <w:b/>
        </w:rPr>
        <w:t xml:space="preserve">Đỗ Thùy Hương (Do Thuy Huong)</w:t>
      </w:r>
      <w:r>
        <w:t xml:space="preserve"> </w:t>
      </w:r>
      <w:r>
        <w:t xml:space="preserve">PhD Candidate</w:t>
      </w:r>
      <w:r>
        <w:t xml:space="preserve"> </w:t>
      </w:r>
      <w:r>
        <w:t xml:space="preserve">College of Economics, Can Tho University (CTU), Vietnam</w:t>
      </w:r>
      <w:r>
        <w:t xml:space="preserve"> </w:t>
      </w:r>
      <w:r>
        <w:t xml:space="preserve">Email: huongp1323001@gstudent.ctu.edu.vn | ORCID: 0000-0002-7711-2487</w:t>
      </w:r>
    </w:p>
    <w:p>
      <w:pPr>
        <w:pStyle w:val="BodyText"/>
      </w:pPr>
      <w:r>
        <w:rPr>
          <w:bCs/>
          <w:b/>
        </w:rPr>
        <w:t xml:space="preserve">PGS.TS. Phan Anh Tú (Phan Anh Tu)</w:t>
      </w:r>
      <w:r>
        <w:t xml:space="preserve"> </w:t>
      </w:r>
      <w:r>
        <w:t xml:space="preserve">Associate Professor, College of Economics</w:t>
      </w:r>
      <w:r>
        <w:t xml:space="preserve"> </w:t>
      </w:r>
      <w:r>
        <w:t xml:space="preserve">Can Tho University (CTU), Vietnam</w:t>
      </w:r>
      <w:r>
        <w:t xml:space="preserve"> </w:t>
      </w:r>
      <w:r>
        <w:rPr>
          <w:iCs/>
          <w:i/>
        </w:rPr>
        <w:t xml:space="preserve">Corresponding author</w:t>
      </w:r>
      <w:r>
        <w:t xml:space="preserve"> </w:t>
      </w:r>
      <w:r>
        <w:t xml:space="preserve">Email: patu@ctu.edu.vn | ORCID: 0000-0003-0667-3137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2026-05-14T10:22:58Z</dcterms:created>
  <dcterms:modified xsi:type="dcterms:W3CDTF">2026-05-14T10:22:58Z</dcterms:modified>
</cp:coreProperties>
</file>

<file path=docProps/custom.xml><?xml version="1.0" encoding="utf-8"?>
<Properties xmlns="http://schemas.openxmlformats.org/officeDocument/2006/custom-properties" xmlns:vt="http://schemas.openxmlformats.org/officeDocument/2006/docPropsVTypes"/>
</file>