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uthor-title-page"/>
    <w:p>
      <w:pPr>
        <w:pStyle w:val="Heading1"/>
      </w:pPr>
      <w:r>
        <w:t xml:space="preserve">Author Title Page</w:t>
      </w:r>
    </w:p>
    <w:bookmarkStart w:id="20" w:name="X111b8602d2509ec0354d44a99d7a8df084e3e9b"/>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Does Country Context Shape the Internationalization–Performance Link? A Three-Level Meta-Analytic Investigation of Digital Adoption, Institutional Regimes, and the Digital Paradox Lifecycle</w:t>
      </w:r>
    </w:p>
    <w:p>
      <w:pPr>
        <w:pStyle w:val="BodyText"/>
      </w:pPr>
      <w:r>
        <w:rPr>
          <w:iCs/>
          <w:i/>
        </w:rPr>
        <w:t xml:space="preserve">Target journal:</w:t>
      </w:r>
      <w:r>
        <w:t xml:space="preserve"> </w:t>
      </w:r>
      <w:r>
        <w:t xml:space="preserve">International Business Review (IBR), Elsevier</w:t>
      </w:r>
    </w:p>
    <w:p>
      <w:pPr>
        <w:pStyle w:val="BodyText"/>
      </w:pPr>
      <w:r>
        <w:rPr>
          <w:iCs/>
          <w:i/>
        </w:rPr>
        <w:t xml:space="preserve">Submission date:</w:t>
      </w:r>
      <w:r>
        <w:t xml:space="preserve"> </w:t>
      </w:r>
      <w:r>
        <w:t xml:space="preserve">14 May 2026</w:t>
      </w:r>
    </w:p>
    <w:p>
      <w:r>
        <w:pict>
          <v:rect style="width:0;height:1.5pt" o:hralign="center" o:hrstd="t" o:hr="t"/>
        </w:pict>
      </w:r>
    </w:p>
    <w:bookmarkEnd w:id="21"/>
    <w:bookmarkStart w:id="24" w:name="authors"/>
    <w:p>
      <w:pPr>
        <w:pStyle w:val="Heading2"/>
      </w:pPr>
      <w:r>
        <w:t xml:space="preserve">Authors</w:t>
      </w:r>
    </w:p>
    <w:bookmarkStart w:id="22"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College of Economics, Can Tho University (CTU)</w:t>
      </w:r>
    </w:p>
    <w:p>
      <w:pPr>
        <w:numPr>
          <w:ilvl w:val="0"/>
          <w:numId w:val="1001"/>
        </w:numPr>
        <w:pStyle w:val="Compact"/>
      </w:pPr>
      <w:r>
        <w:rPr>
          <w:bCs/>
          <w:b/>
        </w:rPr>
        <w:t xml:space="preserve">Address:</w:t>
      </w:r>
      <w:r>
        <w:t xml:space="preserve"> </w:t>
      </w:r>
      <w:r>
        <w:t xml:space="preserve">Khu II, Đường 3/2, Ninh Kiều, Cần Thơ, Vietnam</w:t>
      </w:r>
    </w:p>
    <w:p>
      <w:pPr>
        <w:numPr>
          <w:ilvl w:val="0"/>
          <w:numId w:val="1001"/>
        </w:numPr>
        <w:pStyle w:val="Compact"/>
      </w:pPr>
      <w:r>
        <w:rPr>
          <w:bCs/>
          <w:b/>
        </w:rPr>
        <w:t xml:space="preserve">Email:</w:t>
      </w:r>
      <w:r>
        <w:t xml:space="preserve"> </w:t>
      </w:r>
      <w:r>
        <w:t xml:space="preserve">huongp1323001@gstudent.ctu.edu.vn</w:t>
      </w:r>
    </w:p>
    <w:p>
      <w:pPr>
        <w:numPr>
          <w:ilvl w:val="0"/>
          <w:numId w:val="1001"/>
        </w:numPr>
        <w:pStyle w:val="Compact"/>
      </w:pPr>
      <w:r>
        <w:rPr>
          <w:bCs/>
          <w:b/>
        </w:rPr>
        <w:t xml:space="preserve">ORCID:</w:t>
      </w:r>
      <w:r>
        <w:t xml:space="preserve"> </w:t>
      </w:r>
      <w:r>
        <w:t xml:space="preserve">0000-0002-7711-2487 (https://orcid.org/0000-0002-7711-2487)</w:t>
      </w:r>
    </w:p>
    <w:p>
      <w:pPr>
        <w:numPr>
          <w:ilvl w:val="0"/>
          <w:numId w:val="1001"/>
        </w:numPr>
        <w:pStyle w:val="Compact"/>
      </w:pPr>
      <w:r>
        <w:rPr>
          <w:bCs/>
          <w:b/>
        </w:rPr>
        <w:t xml:space="preserve">Role:</w:t>
      </w:r>
      <w:r>
        <w:t xml:space="preserve"> </w:t>
      </w:r>
      <w:r>
        <w:t xml:space="preserve">First author</w:t>
      </w:r>
    </w:p>
    <w:bookmarkEnd w:id="22"/>
    <w:bookmarkStart w:id="23"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r>
        <w:t xml:space="preserve">patu@ctu.edu.vn</w:t>
      </w:r>
    </w:p>
    <w:p>
      <w:pPr>
        <w:numPr>
          <w:ilvl w:val="0"/>
          <w:numId w:val="1002"/>
        </w:numPr>
        <w:pStyle w:val="Compact"/>
      </w:pPr>
      <w:r>
        <w:rPr>
          <w:bCs/>
          <w:b/>
        </w:rPr>
        <w:t xml:space="preserve">ORCID:</w:t>
      </w:r>
      <w:r>
        <w:t xml:space="preserve"> </w:t>
      </w:r>
      <w:r>
        <w:t xml:space="preserve">0000-0003-0667-3137 (https://orcid.org/0000-0003-0667-3137)</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3"/>
    <w:bookmarkEnd w:id="24"/>
    <w:bookmarkStart w:id="25"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5"/>
    <w:bookmarkStart w:id="26" w:name="acknowledgements"/>
    <w:p>
      <w:pPr>
        <w:pStyle w:val="Heading2"/>
      </w:pPr>
      <w:r>
        <w:t xml:space="preserve">Acknowledgements</w:t>
      </w:r>
    </w:p>
    <w:p>
      <w:pPr>
        <w:pStyle w:val="FirstParagraph"/>
      </w:pPr>
      <w:r>
        <w:t xml:space="preserve">We thank the research community whose published primary studies made this meta-analysis possible. We are grateful to the Web of Science and Scopus databases for access to the indexed literature. The ICBEF 2025 conference provided the venue for the baseline analysis (Đỗ &amp; Phan, 2024) upon which the present study builds. The findings, interpretations, and conclusions expressed in this article are those of the authors alone.</w:t>
      </w:r>
    </w:p>
    <w:p>
      <w:r>
        <w:pict>
          <v:rect style="width:0;height:1.5pt" o:hralign="center" o:hrstd="t" o:hr="t"/>
        </w:pict>
      </w:r>
    </w:p>
    <w:bookmarkEnd w:id="26"/>
    <w:bookmarkStart w:id="27"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27"/>
    <w:bookmarkStart w:id="28"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28"/>
    <w:bookmarkStart w:id="29" w:name="data-availability-statement"/>
    <w:p>
      <w:pPr>
        <w:pStyle w:val="Heading2"/>
      </w:pPr>
      <w:r>
        <w:t xml:space="preserve">Data Availability Statement</w:t>
      </w:r>
    </w:p>
    <w:p>
      <w:pPr>
        <w:pStyle w:val="FirstParagraph"/>
      </w:pPr>
      <w:r>
        <w:t xml:space="preserve">The coded study database, R replication scripts (metafor), PRISMA flow diagram, and inter-coder reliability materials are available from the corresponding author upon reasonable request. Pre-registration materials are deposited on OSF (registration link to be inserted upon acceptance).</w:t>
      </w:r>
    </w:p>
    <w:p>
      <w:r>
        <w:pict>
          <v:rect style="width:0;height:1.5pt" o:hralign="center" o:hrstd="t" o:hr="t"/>
        </w:pict>
      </w:r>
    </w:p>
    <w:bookmarkEnd w:id="29"/>
    <w:bookmarkStart w:id="30"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documentation. All conceptual framing, hypothesis development, systematic search design, effect-size coding, meta-analytic estimation, results interpretation, and final wording were authored by the human authors, who take full responsibility for the content of the publication.</w:t>
      </w:r>
    </w:p>
    <w:p>
      <w:r>
        <w:pict>
          <v:rect style="width:0;height:1.5pt" o:hralign="center" o:hrstd="t" o:hr="t"/>
        </w:pict>
      </w:r>
    </w:p>
    <w:bookmarkEnd w:id="30"/>
    <w:bookmarkStart w:id="31" w:name="manuscript-information"/>
    <w:p>
      <w:pPr>
        <w:pStyle w:val="Heading2"/>
      </w:pPr>
      <w:r>
        <w:t xml:space="preserve">Manuscript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 (systematic meta-analysis)</w:t>
            </w:r>
          </w:p>
        </w:tc>
      </w:tr>
      <w:tr>
        <w:tc>
          <w:tcPr/>
          <w:p>
            <w:pPr>
              <w:pStyle w:val="Compact"/>
              <w:jc w:val="left"/>
            </w:pPr>
            <w:r>
              <w:t xml:space="preserve">Word count (main text)</w:t>
            </w:r>
          </w:p>
        </w:tc>
        <w:tc>
          <w:tcPr/>
          <w:p>
            <w:pPr>
              <w:pStyle w:val="Compact"/>
              <w:jc w:val="left"/>
            </w:pPr>
            <w:r>
              <w:t xml:space="preserve">Approximately 8,000 words</w:t>
            </w:r>
          </w:p>
        </w:tc>
      </w:tr>
      <w:tr>
        <w:tc>
          <w:tcPr/>
          <w:p>
            <w:pPr>
              <w:pStyle w:val="Compact"/>
              <w:jc w:val="left"/>
            </w:pPr>
            <w:r>
              <w:t xml:space="preserve">Studies (</w:t>
            </w:r>
            <w:r>
              <w:rPr>
                <w:iCs/>
                <w:i/>
              </w:rPr>
              <w:t xml:space="preserve">k</w:t>
            </w:r>
            <w:r>
              <w:t xml:space="preserve">)</w:t>
            </w:r>
          </w:p>
        </w:tc>
        <w:tc>
          <w:tcPr/>
          <w:p>
            <w:pPr>
              <w:pStyle w:val="Compact"/>
              <w:jc w:val="left"/>
            </w:pPr>
            <w:r>
              <w:t xml:space="preserve">235 primary studies</w:t>
            </w:r>
          </w:p>
        </w:tc>
      </w:tr>
      <w:tr>
        <w:tc>
          <w:tcPr/>
          <w:p>
            <w:pPr>
              <w:pStyle w:val="Compact"/>
              <w:jc w:val="left"/>
            </w:pPr>
            <w:r>
              <w:t xml:space="preserve">Effect sizes</w:t>
            </w:r>
          </w:p>
        </w:tc>
        <w:tc>
          <w:tcPr/>
          <w:p>
            <w:pPr>
              <w:pStyle w:val="Compact"/>
              <w:jc w:val="left"/>
            </w:pPr>
            <w:r>
              <w:t xml:space="preserve">Approximately 385</w:t>
            </w:r>
          </w:p>
        </w:tc>
      </w:tr>
      <w:tr>
        <w:tc>
          <w:tcPr/>
          <w:p>
            <w:pPr>
              <w:pStyle w:val="Compact"/>
              <w:jc w:val="left"/>
            </w:pPr>
            <w:r>
              <w:t xml:space="preserve">Tables</w:t>
            </w:r>
          </w:p>
        </w:tc>
        <w:tc>
          <w:tcPr/>
          <w:p>
            <w:pPr>
              <w:pStyle w:val="Compact"/>
              <w:jc w:val="left"/>
            </w:pPr>
            <w:r>
              <w:t xml:space="preserve">4 (inline)</w:t>
            </w:r>
          </w:p>
        </w:tc>
      </w:tr>
      <w:tr>
        <w:tc>
          <w:tcPr/>
          <w:p>
            <w:pPr>
              <w:pStyle w:val="Compact"/>
              <w:jc w:val="left"/>
            </w:pPr>
            <w:r>
              <w:t xml:space="preserve">Figures</w:t>
            </w:r>
          </w:p>
        </w:tc>
        <w:tc>
          <w:tcPr/>
          <w:p>
            <w:pPr>
              <w:pStyle w:val="Compact"/>
              <w:jc w:val="left"/>
            </w:pPr>
            <w:r>
              <w:t xml:space="preserve">3 (forest plot, funnel plot, moderator bubble plot)</w:t>
            </w:r>
          </w:p>
        </w:tc>
      </w:tr>
      <w:tr>
        <w:tc>
          <w:tcPr/>
          <w:p>
            <w:pPr>
              <w:pStyle w:val="Compact"/>
              <w:jc w:val="left"/>
            </w:pPr>
            <w:r>
              <w:t xml:space="preserve">Keywords</w:t>
            </w:r>
          </w:p>
        </w:tc>
        <w:tc>
          <w:tcPr/>
          <w:p>
            <w:pPr>
              <w:pStyle w:val="Compact"/>
              <w:jc w:val="left"/>
            </w:pPr>
            <w:r>
              <w:t xml:space="preserve">internationalization–performance; meta-analysis; three-level model; digital adoption; institutional context; ICRV; Digital Paradox Lifecycle; Asia-Pacific</w:t>
            </w:r>
          </w:p>
        </w:tc>
      </w:tr>
      <w:tr>
        <w:tc>
          <w:tcPr/>
          <w:p>
            <w:pPr>
              <w:pStyle w:val="Compact"/>
              <w:jc w:val="left"/>
            </w:pPr>
            <w:r>
              <w:t xml:space="preserve">JEL codes</w:t>
            </w:r>
          </w:p>
        </w:tc>
        <w:tc>
          <w:tcPr/>
          <w:p>
            <w:pPr>
              <w:pStyle w:val="Compact"/>
              <w:jc w:val="left"/>
            </w:pPr>
            <w:r>
              <w:t xml:space="preserve">F23, O33, C83, O53</w:t>
            </w:r>
          </w:p>
        </w:tc>
      </w:tr>
      <w:tr>
        <w:tc>
          <w:tcPr/>
          <w:p>
            <w:pPr>
              <w:pStyle w:val="Compact"/>
              <w:jc w:val="left"/>
            </w:pPr>
            <w:r>
              <w:t xml:space="preserve">Software</w:t>
            </w:r>
          </w:p>
        </w:tc>
        <w:tc>
          <w:tcPr/>
          <w:p>
            <w:pPr>
              <w:pStyle w:val="Compact"/>
              <w:jc w:val="left"/>
            </w:pPr>
            <w:r>
              <w:t xml:space="preserve">R 4.4 (metafor); JASP 0.19; Stata 17 (robustness)</w:t>
            </w:r>
          </w:p>
        </w:tc>
      </w:tr>
      <w:tr>
        <w:tc>
          <w:tcPr/>
          <w:p>
            <w:pPr>
              <w:pStyle w:val="Compact"/>
              <w:jc w:val="left"/>
            </w:pPr>
            <w:r>
              <w:t xml:space="preserve">Pre-registration</w:t>
            </w:r>
          </w:p>
        </w:tc>
        <w:tc>
          <w:tcPr/>
          <w:p>
            <w:pPr>
              <w:pStyle w:val="Compact"/>
              <w:jc w:val="left"/>
            </w:pPr>
            <w:r>
              <w:t xml:space="preserve">OSF (pre-registration number to be inserted upon acceptance)</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2026-05-14T10:22:58Z</dcterms:created>
  <dcterms:modified xsi:type="dcterms:W3CDTF">2026-05-14T10:22:58Z</dcterms:modified>
</cp:coreProperties>
</file>

<file path=docProps/custom.xml><?xml version="1.0" encoding="utf-8"?>
<Properties xmlns="http://schemas.openxmlformats.org/officeDocument/2006/custom-properties" xmlns:vt="http://schemas.openxmlformats.org/officeDocument/2006/docPropsVTypes"/>
</file>