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t xml:space="preserve">The conventional inverted-U relationship between internationalization intensity and firm performance rests on three structural prerequisites: a viable domestic market, manageable trade costs, and functional institutional support. We argue that when all three are simultaneously absent — as in Pacific Small Island Developing States (SIDS) — the expected non-linear pattern collapses into a monotone negative relationship that we term the</w:t>
      </w:r>
      <w:r>
        <w:t xml:space="preserve"> </w:t>
      </w:r>
      <w:r>
        <w:rPr>
          <w:bCs/>
          <w:b/>
        </w:rPr>
        <w:t xml:space="preserve">Forced Internationalization Penalty (FIP)</w:t>
      </w:r>
      <w:r>
        <w:t xml:space="preserve">. Unlike the downward phase-1 slope in three-stage internationalization theory, FIP is not a transient learning cost with an eventual turning point; it is a persistent structural condition arising from the compulsion to export despite systemic disadvantages. Using World Bank Enterprise Survey data from 1,469 firms across nine Pacific SIDS economies (2009–2025), we find that internationalization intensity is robustly and negatively associated with labor productivity (β = −0.404, p = .032 in the country-and-year fixed-effects specification; β = −1.236, p &lt; .001 without country fixed effects), with no significant quadratic curvature. Technological capability and digital adoption — both significant moderators in mainland Asian contexts — are null in the SIDS environment, consistent with the FIP mechanism: when structural prerequisites are absent, firm-level capabilities cannot redirect the I-P relationship toward positive territory. The findings reframe the inverted-U paradigm as conditional rather than universal, identify boundary conditions for institutional moderation theory, and carry direct implications for the Antigua and Barbuda Agenda for SIDS.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where even an initial downward phase-1 slope is transient and eventually gives way to net benefits. Both frameworks share a common foundational assumption: that the institutional environment, while potentially moderating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paper challenges that assumption. We argue that certain structural conditions — characteristic of Small Island Developing States (SIDS) — eliminate the prerequisites on which the inverted-U logic depends, replacing the expected non-linear pattern with a monotone negative relationship.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simultaneously absent.</w:t>
      </w:r>
    </w:p>
    <w:p>
      <w:pPr>
        <w:pStyle w:val="BodyText"/>
      </w:pPr>
      <w:r>
        <w:t xml:space="preserve">SIDS represent a theoretically extreme yet empirically underserved context for I-P research. These economies are characterized by microscopic domestic markets (Tonga: 104,000 inhabitants; Kiribati: 121,000), extreme geographic isolation amplifying trade costs by 30–210% (Winters &amp; Martins, 2004), and comprehensive institutional voids that limit firms' ability to appropriate returns from international activities (Briguglio, 1995; Khanna &amp; Palepu, 2010). Critically,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domestically. This compulsion — survival-based internationalization — fundamentally alters the logic of the I-P relationship.</w:t>
      </w:r>
    </w:p>
    <w:p>
      <w:pPr>
        <w:pStyle w:val="BodyText"/>
      </w:pPr>
      <w:r>
        <w:t xml:space="preserve">We make three contributions to the IB literature. First, we introduce and theoretically define FIP as a boundary condition of the inverted-U paradigm, distinguishing it from adjacent concepts including phase-1 costs in three-stage theory (Contractor et al., 2003), Liability of Foreignness (Zaheer, 1995), and necessity entrepreneurship (Sarasvathy et al., 2014). Second, we provide empirical evidence from 1,469 firms across nine Pacific SIDS economies using World Bank Enterprise Survey (WBES) data — the most comprehensive firm-level I-P analysis in Pacific SIDS to date. Third, we demonstrate that firm-level capabilities (technological capability, digital adoption) cannot override FIP, shifting the theoretical conversation from "institutional moderation of the I-P relationship" (Marano, Tallman, &amp; Teece, 2016) to "institutional determination of the sign of I-P relationship."</w:t>
      </w:r>
    </w:p>
    <w:p>
      <w:pPr>
        <w:pStyle w:val="BodyText"/>
      </w:pPr>
      <w:r>
        <w:t xml:space="preserve">The findings carry direct policy implications under the Antigua and Barbuda Agenda for SIDS (United Nations General Assembly, 2024), suggesting that strategies premised on export-led growth may be systematically misaligned with the structural realities of Pacific micro-economies.</w:t>
      </w:r>
    </w:p>
    <w:p>
      <w:r>
        <w:pict>
          <v:rect style="width:0;height:1.5pt" o:hralign="center" o:hrstd="t" o:hr="t"/>
        </w:pict>
      </w:r>
    </w:p>
    <w:bookmarkEnd w:id="21"/>
    <w:bookmarkStart w:id="26" w:name="X88086f89d30295b73ade34a6a6d72f6030bebeb"/>
    <w:p>
      <w:pPr>
        <w:pStyle w:val="Heading2"/>
      </w:pPr>
      <w:r>
        <w:t xml:space="preserve">2. Theoretical Background and Hypotheses</w:t>
      </w:r>
    </w:p>
    <w:bookmarkStart w:id="22"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 typically estimated between 30% and 70% of foreign sales to total sales (FSTS) — represents the point at which marginal costs equal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 too small to support minimum efficient scale for even basic operations — firms are structurally compelled to export regardless of strategic readiness or capability. The "selection into exporting" assumption underlying most I-P models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 absent financial intermediaries, unreliable contract enforcement, limited trade facilitation infrastructure — do not merely weaken the inverted-U; they may eliminate the mechanism generating positive returns from internationalization entirely.</w:t>
      </w:r>
    </w:p>
    <w:bookmarkEnd w:id="22"/>
    <w:bookmarkStart w:id="23"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 it is the penalty incurred by SIDS firms when they export, not the penalty incurred by multinationals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making the necessity-driven internationalization path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 the standard measure of internationalization intensity —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 indicating Forced Internationalization Penalty rather than an inverted-U relationship.</w:t>
      </w:r>
    </w:p>
    <w:bookmarkEnd w:id="24"/>
    <w:bookmarkStart w:id="25"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 enabling firms to achieve better performance at any given level of internationalization —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generating FIP operates at a level that firm-level capabilities cannot easily offset.</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X5eb800a903106e48a684e9ea9de39ed619b9df8"/>
    <w:p>
      <w:pPr>
        <w:pStyle w:val="Heading2"/>
      </w:pPr>
      <w:r>
        <w:t xml:space="preserve">3. Data and Methods</w:t>
      </w:r>
    </w:p>
    <w:bookmarkStart w:id="27"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 observations with non-missing values for labor productivity, export intensity, and firm age — comprises</w:t>
      </w:r>
      <w:r>
        <w:t xml:space="preserve"> </w:t>
      </w:r>
      <w:r>
        <w:rPr>
          <w:bCs/>
          <w:b/>
        </w:rPr>
        <w:t xml:space="preserve">1,469 firms</w:t>
      </w:r>
      <w:r>
        <w:t xml:space="preserve"> </w:t>
      </w:r>
      <w:r>
        <w:t xml:space="preserve">across multiple country-year waves.</w:t>
      </w:r>
    </w:p>
    <w:bookmarkEnd w:id="27"/>
    <w:bookmarkStart w:id="28"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 FSTS_c =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 Goedhuys and Sleuwaegen (2013), TCI is constructed from two WBES items: b8 (internationally recognized quality certification, binary) and e6 (licensing of foreign technology, binary). TCI_z is the z-standardized mean of these two indicators.</w:t>
      </w:r>
    </w:p>
    <w:p>
      <w:pPr>
        <w:pStyle w:val="BodyText"/>
      </w:pPr>
      <w:r>
        <w:rPr>
          <w:bCs/>
          <w:b/>
        </w:rPr>
        <w:t xml:space="preserve">Digital adoption index (DAI_z).</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w:t>
      </w:r>
      <w:r>
        <w:t xml:space="preserve">— the first step of digital presence. It is appropriate for the SIDS context where advanced digital infrastructure is limited;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bookmarkEnd w:id="28"/>
    <w:bookmarkStart w:id="29"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 α + γ₁ ln_size_it + γ₂ firm_age_it + γ₃ foreign_own_pct_it + δ_c + λ_t + ε_it</w:t>
      </w:r>
    </w:p>
    <w:p>
      <w:pPr>
        <w:pStyle w:val="BodyText"/>
      </w:pPr>
      <w:r>
        <w:rPr>
          <w:bCs/>
          <w:b/>
        </w:rPr>
        <w:t xml:space="preserve">M1 (linear FSTS — FIP test)</w:t>
      </w:r>
      <w:r>
        <w:t xml:space="preserve">:</w:t>
      </w:r>
      <w:r>
        <w:t xml:space="preserve"> </w:t>
      </w:r>
      <w:r>
        <w:t xml:space="preserve">ln_LP_it = α + β₁ FSTS_c_it + γ·X_it + δ_c + λ_t + ε_it</w:t>
      </w:r>
    </w:p>
    <w:p>
      <w:pPr>
        <w:pStyle w:val="BodyText"/>
      </w:pPr>
      <w:r>
        <w:rPr>
          <w:bCs/>
          <w:b/>
        </w:rPr>
        <w:t xml:space="preserve">M2 (quadratic FSTS — curvature test)</w:t>
      </w:r>
      <w:r>
        <w:t xml:space="preserve">:</w:t>
      </w:r>
      <w:r>
        <w:t xml:space="preserve"> </w:t>
      </w:r>
      <w:r>
        <w:t xml:space="preserve">ln_LP_it = α + β₁ FSTS_c_it + β₂ FSTS_c²_it + γ·X_it + δ_c + λ_t + ε_it</w:t>
      </w:r>
    </w:p>
    <w:p>
      <w:pPr>
        <w:pStyle w:val="BodyText"/>
      </w:pPr>
      <w:r>
        <w:rPr>
          <w:bCs/>
          <w:b/>
        </w:rPr>
        <w:t xml:space="preserve">M3 (capabilities — moderation null test)</w:t>
      </w:r>
      <w:r>
        <w:t xml:space="preserve">:</w:t>
      </w:r>
      <w:r>
        <w:t xml:space="preserve"> </w:t>
      </w:r>
      <w:r>
        <w:t xml:space="preserve">ln_LP_it = α + β₁ 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X121719332867ee227f0a04b486098cee978c6e6"/>
    <w:p>
      <w:pPr>
        <w:pStyle w:val="Heading2"/>
      </w:pPr>
      <w:r>
        <w:t xml:space="preserve">4. Results</w:t>
      </w:r>
    </w:p>
    <w:bookmarkStart w:id="31" w:name="Xf031df31c5b8141c05fcebab78842231a9e024a"/>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 R² increases from 0.511 (year FE only) to 0.799 (country + year FE) when country indicators are added, confirming that 95% of explained productivity variance is between-country — a feature consistent with extreme between-country heterogeneity in institutional quality, geographic remoteness, and economic structure.</w:t>
      </w:r>
    </w:p>
    <w:bookmarkEnd w:id="31"/>
    <w:bookmarkStart w:id="32"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0.7992; adding FSTS_c in M1 marginally increases R² to 0.8001 — indicating that, conditional on country and year fixed effects, FSTS explains limited additional variance but in a consistently negative direction.</w:t>
      </w:r>
    </w:p>
    <w:p>
      <w:pPr>
        <w:pStyle w:val="BodyText"/>
      </w:pPr>
      <w:r>
        <w:t xml:space="preserve">Control variable results in M1 are consistent with established evidence: firm age is positively associated with productivity (β = +0.009, p = .052); foreign ownership shows a marginally negative association (β = −0.006, p = .056), perhaps reflecting thin foreign investment efficiency in SIDS contexts; firm size is positive but non-significant (β = +0.082, p = .242).</w:t>
      </w:r>
    </w:p>
    <w:bookmarkEnd w:id="32"/>
    <w:bookmarkStart w:id="33" w:name="X63dffc52705f613b9189e4d063445c8fa1c57bf"/>
    <w:p>
      <w:pPr>
        <w:pStyle w:val="Heading3"/>
      </w:pPr>
      <w:r>
        <w:t xml:space="preserve">4.3 Monotone Negative Form: No Curvature (H1 — quadratic null)</w:t>
      </w:r>
    </w:p>
    <w:p>
      <w:pPr>
        <w:pStyle w:val="FirstParagraph"/>
      </w:pPr>
      <w:r>
        <w:rPr>
          <w:bCs/>
          <w:b/>
        </w:rPr>
        <w:t xml:space="preserve">M2</w:t>
      </w:r>
      <w:r>
        <w:t xml:space="preserve"> </w:t>
      </w:r>
      <w:r>
        <w:t xml:space="preserve">introduces the quadratic term FSTS_c² to test whether the negative I-P relationship is eventually reversed — i.e., whether there is any inverted-U pattern with the positive portion below our data range.</w:t>
      </w:r>
    </w:p>
    <w:p>
      <w:pPr>
        <w:pStyle w:val="BodyText"/>
      </w:pPr>
      <w:r>
        <w:t xml:space="preserve">The results are:</w:t>
      </w:r>
      <w:r>
        <w:t xml:space="preserve"> </w:t>
      </w:r>
      <w:r>
        <w:t xml:space="preserve">β(FSTS_c) = −0.925, SE = 0.828, p = .265 (n.s.)</w:t>
      </w:r>
      <w:r>
        <w:t xml:space="preserve"> </w:t>
      </w:r>
      <w:r>
        <w:t xml:space="preserve">β(FSTS_c²)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 a reversal of the conventional form that is itself consistent with FIP (the relationship is monotonically negative with no upward turning point within the observed range). The Lind–Mehlum (2010) sufficient conditions test for an inverted U cannot be rejected in the positive direction: there is no evidence that internationalization improves performance at any intensity level.</w:t>
      </w:r>
    </w:p>
    <w:p>
      <w:pPr>
        <w:pStyle w:val="BodyText"/>
      </w:pPr>
      <w:r>
        <w:t xml:space="preserve">The pattern is</w:t>
      </w:r>
      <w:r>
        <w:t xml:space="preserve"> </w:t>
      </w:r>
      <w:r>
        <w:rPr>
          <w:bCs/>
          <w:b/>
        </w:rPr>
        <w:t xml:space="preserve">monotone negative</w:t>
      </w:r>
      <w:r>
        <w:t xml:space="preserve"> </w:t>
      </w:r>
      <w:r>
        <w:t xml:space="preserve">— consistent with H1 and the FIP structural mechanism. There is no turning point within the observed FSTS range (0–1).</w:t>
      </w:r>
    </w:p>
    <w:bookmarkEnd w:id="33"/>
    <w:bookmarkStart w:id="34"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 which might absorb too much structural variation — yields a substantially larger negative effect:</w:t>
      </w:r>
    </w:p>
    <w:p>
      <w:pPr>
        <w:pStyle w:val="BodyText"/>
      </w:pPr>
      <w:r>
        <w:t xml:space="preserve">β(FSTS)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w:r>
        <w:t xml:space="preserve">β(FSTS)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w:r>
        <w:t xml:space="preserve">β(FSTS_c)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 the hallmark of the FIP mechanism rather than adverse selection.</w:t>
      </w:r>
    </w:p>
    <w:bookmarkEnd w:id="34"/>
    <w:bookmarkStart w:id="35"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 Neither variable achieves statistical significance:</w:t>
      </w:r>
    </w:p>
    <w:p>
      <w:pPr>
        <w:pStyle w:val="BodyText"/>
      </w:pPr>
      <w:r>
        <w:t xml:space="preserve">β(TCI_z) = +0.058, SE = 0.085, p = .495 (n.s.)</w:t>
      </w:r>
      <w:r>
        <w:t xml:space="preserve"> </w:t>
      </w:r>
      <w:r>
        <w:t xml:space="preserve">β(DAI_z) = +0.062, SE = 0.073, p = .402 (n.s.)</w:t>
      </w:r>
    </w:p>
    <w:p>
      <w:pPr>
        <w:pStyle w:val="BodyText"/>
      </w:pPr>
      <w:r>
        <w:t xml:space="preserve">The FIP coefficient (FSTS_c) remains negative but loses significance in M3 (β = −0.974, p = .252), likely reflecting the substantially reduced sample (N = 526 for M3, versus N = 1,469 for M1, due to missing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These results</w:t>
      </w:r>
      <w:r>
        <w:t xml:space="preserve"> </w:t>
      </w:r>
      <w:r>
        <w:rPr>
          <w:bCs/>
          <w:b/>
        </w:rPr>
        <w:t xml:space="preserve">support H2</w:t>
      </w:r>
      <w:r>
        <w:t xml:space="preserve">: technological capability and digital adoption do not significantly moderate the I-P relationship in Pacific SIDS. The positive point estimates for TCI_z and DAI_z — while small and non-significant —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X6c093959484b3f9d4e201eec1d461ec8d4bd970"/>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 β = −0.404, p = .032); (ii) no significant quadratic curvature or turning point (M2: both FSTS_c and FSTS_c² non-significant); (iii) robustly negative across four specifications (M_yearFE: β = −1.236, p &lt; .001; M_bivariate: β = −1.596, p &lt; .001; exporters-only: β = −0.901, p = .027); and (iv) null capability moderation (M3: TCI_z p = .495; DAI_z p = .402).</w:t>
      </w:r>
    </w:p>
    <w:p>
      <w:r>
        <w:pict>
          <v:rect style="width:0;height:1.5pt" o:hralign="center" o:hrstd="t" o:hr="t"/>
        </w:pict>
      </w:r>
    </w:p>
    <w:bookmarkEnd w:id="36"/>
    <w:bookmarkEnd w:id="37"/>
    <w:bookmarkStart w:id="43" w:name="X735612638e4e736e4693e459c258977262c0dfc"/>
    <w:p>
      <w:pPr>
        <w:pStyle w:val="Heading2"/>
      </w:pPr>
      <w:r>
        <w:t xml:space="preserve">5. Discussion</w:t>
      </w:r>
    </w:p>
    <w:bookmarkStart w:id="38"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we observe a monotone negative relationship that persists across four modeling specifications and that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 firms cannot accumulate the home-base resources and organizational capabilities that fund and sustain profitable internationalization. When trade costs amplify export revenues' "cost of doing business" by 30–210% (Winters &amp; Martins, 2004), the marginal economics of exporting are negative from the outset. When institutional voids are comprehensive — absent trade finance intermediaries, unreliable contract enforcement, limited standards infrastructure — firms cannot appropriate the learning and scale benefits that internationalization theory promises.</w:t>
      </w:r>
    </w:p>
    <w:p>
      <w:pPr>
        <w:pStyle w:val="BodyText"/>
      </w:pPr>
      <w:r>
        <w:t xml:space="preserve">This reframes the inverted-U from a universal empirical regularity to a</w:t>
      </w:r>
      <w:r>
        <w:t xml:space="preserve"> </w:t>
      </w:r>
      <w:r>
        <w:rPr>
          <w:iCs/>
          <w:i/>
        </w:rPr>
        <w:t xml:space="preserve">conditional</w:t>
      </w:r>
      <w:r>
        <w:t xml:space="preserve"> </w:t>
      </w:r>
      <w:r>
        <w:t xml:space="preserve">relationship: it holds when and because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a special case of a more general theoretical relationship: when institutional conditions cross a structural threshold from "weaker moderation" to "violated prerequisites," the sign — not just the magnitude — of the I-P relationship reverses.</w:t>
      </w:r>
    </w:p>
    <w:bookmarkEnd w:id="38"/>
    <w:bookmarkStart w:id="39"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 where all three structural prerequisites are absent simultaneously — the I-P functional form is not a modified inverted-U but a qualitatively different pattern (monotone negative). This extends the theoretical vocabulary of IB research beyond "intensity moderation" toward "existence moderation" of the I-P relationship.</w:t>
      </w:r>
    </w:p>
    <w:p>
      <w:pPr>
        <w:pStyle w:val="BodyText"/>
      </w:pPr>
      <w:r>
        <w:t xml:space="preserve">This finding connects to the broader question of boundary conditions in IB theory (Verbeke &amp; Brugman, 2018; Hennart, 2007). If mainstream I-P theories are derived from samples of economies where structural prerequisites are broadly satisfied, those theories may be systematically inapplicable to the SIDS context — not merely in need of adjustment, but representing a qualitatively different theoretical regime. FIP offers a theoretically grounded label for that alternative regime.</w:t>
      </w:r>
    </w:p>
    <w:bookmarkEnd w:id="39"/>
    <w:bookmarkStart w:id="40" w:name="X8a30c3062e38861be110fa8b68be2e42e1dcb57"/>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 Vietnam, Singapore, China, and multi-country samples — technological capability and digital adoption are significant moderators of the I-P relationship (Goedhuys &amp; Sleuwaegen, 2013; Teece, 2007). Why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the FIP mechanism operates at a structural, pre-organizational level. A SIDS firm with ISO 9001 certification (high TCI) still faces the same 30–210% trade cost amplifications; a SIDS firm with a functioning website (DAI = 1) still faces absent trade finance institutions. Capabilities that are powerful moderators within the structural prerequisites framework become ineffective when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 the firm, unable to translate into performance advantages through international market transactions.</w:t>
      </w:r>
    </w:p>
    <w:p>
      <w:pPr>
        <w:pStyle w:val="BodyText"/>
      </w:pPr>
      <w:r>
        <w:t xml:space="preserve">The positive — though non-significant — point estimates for TCI_z and DAI_z suggest that capabilities do raise general productivity levels (consistent with their role in the broader literature), but they cannot modify the negative directionality of the FSTS–performance relationship in the SIDS structural context. This nuance — capabilities help the level, not the slope — may be a productive direction for future SIDS research.</w:t>
      </w:r>
    </w:p>
    <w:bookmarkEnd w:id="40"/>
    <w:bookmarkStart w:id="41"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 adopted at the Fourth International Conference on SIDS —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 without simultaneously addressing the violated structural prerequisites — may worsen firm performance at the micro-level even while improving macroeconomic trade balances. The relevant policy question becomes: what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 standards bodies, trade finance intermediaries, export promotion agencies with genuine capacity — rather than generic governance reform may most directly address the FIP mechanism. Goedhuys and Sleuwaegen's (2013) evidence on international certification is instructive: their finding that ISO certification improves firm productivity is consistent with the null TCI result here if certification's productivity benefit is conditional on institutions that support standards enforcement and customer recognition — conditions absent in the SIDS context.</w:t>
      </w:r>
    </w:p>
    <w:bookmarkEnd w:id="41"/>
    <w:bookmarkStart w:id="42"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while we pool across multiple country-year waves (2009–2025), few SIDS economies have more than one WBES wave (see Table 1), limiting panel identification of causal effects. The FIP estimate is primarily identified from cross-sectional variation in FSTS within country-year cells. Future work using panel data — where available for Fiji and Papua New Guinea, which have two waves — could strengthen causal identification.</w:t>
      </w:r>
    </w:p>
    <w:p>
      <w:pPr>
        <w:pStyle w:val="BodyText"/>
      </w:pPr>
      <w:r>
        <w:t xml:space="preserve">Second,</w:t>
      </w:r>
      <w:r>
        <w:t xml:space="preserve"> </w:t>
      </w:r>
      <w:r>
        <w:rPr>
          <w:bCs/>
          <w:b/>
        </w:rPr>
        <w:t xml:space="preserve">FSTS measurement in thin-export contexts</w:t>
      </w:r>
      <w:r>
        <w:t xml:space="preserve">: with mean FSTS of 0.060 and only 12.7% exporters, the FSTS distribution is highly right-skewed. Coefficient estimates in M2 may be sensitive to a handful of high-FSTS outliers; the non-significant quadratic results should be interpreted cautiously.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 a foundational, static indicator. This is appropriate for the SIDS context given the limited availability of more advanced digital infrastructure indicators in WBES, but it means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as arising when three structural prerequisites are simultaneously absent. Other extreme contexts — Saharan micro-states, remote highland economies, post-conflict settings — may exhibit similar patterns. Caribbean SIDS (not included in our sample) represent a natural extension context.</w:t>
      </w:r>
    </w:p>
    <w:p>
      <w:r>
        <w:pict>
          <v:rect style="width:0;height:1.5pt" o:hralign="center" o:hrstd="t" o:hr="t"/>
        </w:pict>
      </w:r>
    </w:p>
    <w:bookmarkEnd w:id="42"/>
    <w:bookmarkEnd w:id="43"/>
    <w:bookmarkStart w:id="44" w:name="X56025c6d9dbf7520f7a7df11f905cdd09f46e4a"/>
    <w:p>
      <w:pPr>
        <w:pStyle w:val="Heading2"/>
      </w:pPr>
      <w:r>
        <w:t xml:space="preserve">6. Conclusions</w:t>
      </w:r>
    </w:p>
    <w:p>
      <w:pPr>
        <w:pStyle w:val="FirstParagraph"/>
      </w:pPr>
      <w:r>
        <w:t xml:space="preserve">We introduced the Forced Internationalization Penalty (FIP) — the monotone negative effect of internationalization intensity on firm performance when three structural prerequisites of the inverted-U relationship are simultaneously absent: a viable domestic market, manageable trade costs, and functional institutional support. Using WBES data from 1,469 firms across nine Pacific SIDS economies, we find robust support for FIP across four empirical specifications (β = −0.404, p = .032 in the primary country-and-year fixed-effects model; β = −1.236, p &lt; .001 without country fixed effects; β = −0.901, p = .027 in the exporters-only subsample). The quadratic term is not significant, confirming the monotone negative form with no observable turning point. Technological capability and digital adoption — significant in mainland Asian contexts — are null in the SIDS environment, consistent with the FIP theoretical mechanism.</w:t>
      </w:r>
    </w:p>
    <w:p>
      <w:pPr>
        <w:pStyle w:val="BodyText"/>
      </w:pPr>
      <w:r>
        <w:t xml:space="preserve">These findings advance IB theory in two ways. First, they shift the discourse on institutional effects from "institutional moderation of I-P intensity" to "institutional determination of I-P sign," establishing that the inverted-U is conditional on structural prerequisites rather than universally applicable. Second, they extend the concept of "forced internationalization" beyond the SME literature into the performance-outcome domain, providing a theoretically defined and empirically validated construct (FIP) that future research can build upon.</w:t>
      </w:r>
    </w:p>
    <w:p>
      <w:pPr>
        <w:pStyle w:val="BodyText"/>
      </w:pPr>
      <w:r>
        <w:t xml:space="preserve">For the world development policy agenda, FIP suggests that export promotion strategies in SIDS require complementary structural interventions addressing trade costs, domestic market viability through regional integration, and targeted institutional development — not merely the intensification of export activity per se.</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5"/>
    <w:bookmarkStart w:id="49" w:name="appendix-a-tables"/>
    <w:p>
      <w:pPr>
        <w:pStyle w:val="Heading2"/>
      </w:pPr>
      <w:r>
        <w:t xml:space="preserve">Appendix A: Tables</w:t>
      </w:r>
    </w:p>
    <w:bookmarkStart w:id="46"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6"/>
    <w:bookmarkStart w:id="47"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 — β(FSTS_c) = −0.404, p = .032 (M1).</w:t>
      </w:r>
    </w:p>
    <w:bookmarkEnd w:id="47"/>
    <w:bookmarkStart w:id="48" w:name="X25c22aea567cfc6fb497c5a2142ec453d3ebd11"/>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(β = −0.901) addresses adverse selection concern: among active exporters, intensifying exports further worsens performance.</w:t>
      </w:r>
    </w:p>
    <w:bookmarkEnd w:id="48"/>
    <w:bookmarkEnd w:id="49"/>
    <w:bookmarkEnd w:id="5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2026-05-15T11:54:26Z</dcterms:created>
  <dcterms:modified xsi:type="dcterms:W3CDTF">2026-05-15T11:54:26Z</dcterms:modified>
</cp:coreProperties>
</file>

<file path=docProps/custom.xml><?xml version="1.0" encoding="utf-8"?>
<Properties xmlns="http://schemas.openxmlformats.org/officeDocument/2006/custom-properties" xmlns:vt="http://schemas.openxmlformats.org/officeDocument/2006/docPropsVTypes"/>
</file>