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We make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demonstrate that firm-level capabilities (technological capability, digital adoption) cannot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 The Lind–Mehlum (2010) sufficient conditions test for an inverted U cannot be rejected in the positive direction: there is no evidence that internationalization improves performance at any intensity level.</w:t>
      </w:r>
    </w:p>
    <w:p>
      <w:pPr>
        <w:pStyle w:val="BodyText"/>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w:t>
      </w:r>
      <w:r>
        <w:t xml:space="preserve"> </w:t>
      </w:r>
      <w:r>
        <w:rPr>
          <w:bCs/>
          <w:b/>
        </w:rPr>
        <w:t xml:space="preserve">support H2</w:t>
      </w:r>
      <w:r>
        <w:t xml:space="preserve">: technological capability and digital adoption do not significantly moderate the I-P relationship in Pacific SIDS.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advance IB theory in two ways. First, they shift the discourse on institutional effects from "institutional moderation of I-P intensity" to "institutional determination of I-P sign," establishing that the inverted-U is conditional on structural prerequisites rather than universally applicable. Second, they extend the concept of "forced internationalization" beyond the SME literature into the performance-outcome domain, providing a theoretically defined and empirically validated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47"/>
    <w:bookmarkStart w:id="48"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2026-05-15T11:54:20Z</dcterms:created>
  <dcterms:modified xsi:type="dcterms:W3CDTF">2026-05-15T11:54:20Z</dcterms:modified>
</cp:coreProperties>
</file>

<file path=docProps/custom.xml><?xml version="1.0" encoding="utf-8"?>
<Properties xmlns="http://schemas.openxmlformats.org/officeDocument/2006/custom-properties" xmlns:vt="http://schemas.openxmlformats.org/officeDocument/2006/docPropsVTypes"/>
</file>