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uthor-title-page"/>
    <w:p>
      <w:pPr>
        <w:pStyle w:val="Heading1"/>
      </w:pPr>
      <w:r>
        <w:t xml:space="preserve">Author Title Page</w:t>
      </w:r>
    </w:p>
    <w:p>
      <w:pPr>
        <w:pStyle w:val="FirstParagraph"/>
      </w:pPr>
      <w:r>
        <w:rPr>
          <w:iCs/>
          <w:i/>
        </w:rPr>
        <w:t xml:space="preserve">(Submitted separately from the blinded manuscript — not for review)</w:t>
      </w:r>
    </w:p>
    <w:bookmarkStart w:id="20" w:name="manuscript-title"/>
    <w:p>
      <w:pPr>
        <w:pStyle w:val="Heading2"/>
      </w:pPr>
      <w:r>
        <w:t xml:space="preserve">Manuscript Title</w:t>
      </w:r>
    </w:p>
    <w:p>
      <w:pPr>
        <w:pStyle w:val="FirstParagraph"/>
      </w:pPr>
      <w:r>
        <w:rPr>
          <w:bCs/>
          <w:b/>
        </w:rPr>
        <w:t xml:space="preserve">Institutional Context, Digital Adoption, and the Internationalization–Performance Relationship: A Three-Level Meta-Analysis</w:t>
      </w:r>
    </w:p>
    <w:p>
      <w:pPr>
        <w:pStyle w:val="BodyText"/>
      </w:pPr>
      <w:r>
        <w:t xml:space="preserve">Target journal:</w:t>
      </w:r>
      <w:r>
        <w:t xml:space="preserve"> </w:t>
      </w:r>
      <w:r>
        <w:rPr>
          <w:iCs/>
          <w:i/>
        </w:rPr>
        <w:t xml:space="preserve">Multinational Business Review</w:t>
      </w:r>
      <w:r>
        <w:t xml:space="preserve"> </w:t>
      </w:r>
      <w:r>
        <w:t xml:space="preserve">(Emerald; Scopus Q2; ABS-2)</w:t>
      </w:r>
      <w:r>
        <w:t xml:space="preserve"> </w:t>
      </w:r>
      <w:r>
        <w:t xml:space="preserve">Submission: Q3 2026</w:t>
      </w:r>
    </w:p>
    <w:bookmarkEnd w:id="20"/>
    <w:bookmarkStart w:id="25" w:name="authors"/>
    <w:p>
      <w:pPr>
        <w:pStyle w:val="Heading2"/>
      </w:pPr>
      <w:r>
        <w:t xml:space="preserve">Authors</w:t>
      </w:r>
    </w:p>
    <w:p>
      <w:pPr>
        <w:pStyle w:val="FirstParagraph"/>
      </w:pPr>
      <w:r>
        <w:rPr>
          <w:bCs/>
          <w:b/>
        </w:rPr>
        <w:t xml:space="preserve">First Author</w:t>
      </w:r>
      <w:r>
        <w:t xml:space="preserve"> </w:t>
      </w:r>
      <w:r>
        <w:t xml:space="preserve">Đỗ Thị Thúy Hương (Do Thi Thuy Huong)</w:t>
      </w:r>
      <w:r>
        <w:t xml:space="preserve"> </w:t>
      </w:r>
      <w:r>
        <w:t xml:space="preserve">Position: PhD Candidate</w:t>
      </w:r>
      <w:r>
        <w:t xml:space="preserve"> </w:t>
      </w:r>
      <w:r>
        <w:t xml:space="preserve">Affiliation: College of Economics, Can Tho University (CTU)</w:t>
      </w:r>
      <w:r>
        <w:t xml:space="preserve"> </w:t>
      </w:r>
      <w:r>
        <w:t xml:space="preserve">Address: Khu II, Đường 3/2, Ninh Kiều, Cần Thơ, Vietnam</w:t>
      </w:r>
      <w:r>
        <w:t xml:space="preserve"> </w:t>
      </w:r>
      <w:r>
        <w:t xml:space="preserve">Email:</w:t>
      </w:r>
      <w:r>
        <w:t xml:space="preserve"> </w:t>
      </w:r>
      <w:hyperlink r:id="rId21">
        <w:r>
          <w:rPr>
            <w:rStyle w:val="Hyperlink"/>
          </w:rPr>
          <w:t xml:space="preserve">huongp1323001@gstudent.ctu.edu.vn</w:t>
        </w:r>
      </w:hyperlink>
      <w:r>
        <w:t xml:space="preserve"> </w:t>
      </w:r>
      <w:r>
        <w:t xml:space="preserve">ORCID: 0000-0002-7711-2487 (</w:t>
      </w:r>
      <w:hyperlink r:id="rId22">
        <w:r>
          <w:rPr>
            <w:rStyle w:val="Hyperlink"/>
          </w:rPr>
          <w:t xml:space="preserve">https://orcid.org/0000-0002-7711-2487</w:t>
        </w:r>
      </w:hyperlink>
      <w:r>
        <w:t xml:space="preserve">)</w:t>
      </w:r>
      <w:r>
        <w:t xml:space="preserve"> </w:t>
      </w:r>
      <w:r>
        <w:t xml:space="preserve">Role: First author</w:t>
      </w:r>
    </w:p>
    <w:p>
      <w:pPr>
        <w:pStyle w:val="BodyText"/>
      </w:pPr>
      <w:r>
        <w:rPr>
          <w:bCs/>
          <w:b/>
        </w:rPr>
        <w:t xml:space="preserve">Second Author (Corresponding Author)</w:t>
      </w:r>
      <w:r>
        <w:t xml:space="preserve"> </w:t>
      </w:r>
      <w:r>
        <w:t xml:space="preserve">Phan Anh Tú (Phan Anh Tu)</w:t>
      </w:r>
      <w:r>
        <w:t xml:space="preserve"> </w:t>
      </w:r>
      <w:r>
        <w:t xml:space="preserve">Title: Associate Professor (PGS.TS.)</w:t>
      </w:r>
      <w:r>
        <w:t xml:space="preserve"> </w:t>
      </w:r>
      <w:r>
        <w:t xml:space="preserve">Affiliation: College of Economics, Can Tho University (CTU)</w:t>
      </w:r>
      <w:r>
        <w:t xml:space="preserve"> </w:t>
      </w:r>
      <w:r>
        <w:t xml:space="preserve">Address: Khu II, Đường 3/2, Ninh Kiều, Cần Thơ, Vietnam</w:t>
      </w:r>
      <w:r>
        <w:t xml:space="preserve"> </w:t>
      </w:r>
      <w:r>
        <w:t xml:space="preserve">Email:</w:t>
      </w:r>
      <w:r>
        <w:t xml:space="preserve"> </w:t>
      </w:r>
      <w:hyperlink r:id="rId23">
        <w:r>
          <w:rPr>
            <w:rStyle w:val="Hyperlink"/>
          </w:rPr>
          <w:t xml:space="preserve">patu@ctu.edu.vn</w:t>
        </w:r>
      </w:hyperlink>
      <w:r>
        <w:t xml:space="preserve"> </w:t>
      </w:r>
      <w:r>
        <w:t xml:space="preserve">ORCID: 0000-0003-0667-3137 (</w:t>
      </w:r>
      <w:hyperlink r:id="rId24">
        <w:r>
          <w:rPr>
            <w:rStyle w:val="Hyperlink"/>
          </w:rPr>
          <w:t xml:space="preserve">https://orcid.org/0000-0003-0667-3137</w:t>
        </w:r>
      </w:hyperlink>
      <w:r>
        <w:t xml:space="preserve">)</w:t>
      </w:r>
      <w:r>
        <w:t xml:space="preserve"> </w:t>
      </w:r>
      <w:r>
        <w:t xml:space="preserve">Role: Corresponding author</w:t>
      </w:r>
    </w:p>
    <w:bookmarkEnd w:id="25"/>
    <w:bookmarkStart w:id="26"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Thị Thúy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bookmarkEnd w:id="26"/>
    <w:bookmarkStart w:id="27" w:name="acknowledgements"/>
    <w:p>
      <w:pPr>
        <w:pStyle w:val="Heading2"/>
      </w:pPr>
      <w:r>
        <w:t xml:space="preserve">Acknowledgements</w:t>
      </w:r>
    </w:p>
    <w:p>
      <w:pPr>
        <w:pStyle w:val="FirstParagraph"/>
      </w:pPr>
      <w:r>
        <w:t xml:space="preserve">We thank the research community whose published primary studies made this meta-analysis possible, and the Web of Science and Scopus databases for access to the indexed literature. The ICBEF 2025 conference provided the venue for the baseline analysis upon which the present study builds. The findings, interpretations, and conclusions expressed in this article are those of the authors alone.</w:t>
      </w:r>
    </w:p>
    <w:bookmarkEnd w:id="27"/>
    <w:bookmarkStart w:id="28" w:name="conflict-of-interest"/>
    <w:p>
      <w:pPr>
        <w:pStyle w:val="Heading2"/>
      </w:pPr>
      <w:r>
        <w:t xml:space="preserve">Conflict of Interest</w:t>
      </w:r>
    </w:p>
    <w:p>
      <w:pPr>
        <w:pStyle w:val="FirstParagraph"/>
      </w:pPr>
      <w:r>
        <w:t xml:space="preserve">The authors declare no conflict of interest.</w:t>
      </w:r>
    </w:p>
    <w:bookmarkEnd w:id="28"/>
    <w:bookmarkStart w:id="29"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29"/>
    <w:bookmarkStart w:id="31" w:name="data-availability-statement"/>
    <w:p>
      <w:pPr>
        <w:pStyle w:val="Heading2"/>
      </w:pPr>
      <w:r>
        <w:t xml:space="preserve">Data Availability Statement</w:t>
      </w:r>
    </w:p>
    <w:p>
      <w:pPr>
        <w:pStyle w:val="FirstParagraph"/>
      </w:pPr>
      <w:r>
        <w:t xml:space="preserve">The coded study database, R replication scripts (</w:t>
      </w:r>
      <w:r>
        <w:rPr>
          <w:iCs/>
          <w:i/>
        </w:rPr>
        <w:t xml:space="preserve">metafor</w:t>
      </w:r>
      <w:r>
        <w:t xml:space="preserve">) with an independent Python cross-check, the PRISMA flow diagram, and the extraction codebook are openly available via the project's Open Science Framework (OSF) record:</w:t>
      </w:r>
      <w:r>
        <w:t xml:space="preserve"> </w:t>
      </w:r>
      <w:hyperlink r:id="rId30">
        <w:r>
          <w:rPr>
            <w:rStyle w:val="Hyperlink"/>
          </w:rPr>
          <w:t xml:space="preserve">https://osf.io/z37kn</w:t>
        </w:r>
      </w:hyperlink>
      <w:r>
        <w:t xml:space="preserve"> </w:t>
      </w:r>
      <w:r>
        <w:t xml:space="preserve">(DOI: 10.17605/OSF.IO/Z37KN). The OSF pre-registration was lodged prior to effect-size extraction. Per MBR's open-science encouragement, the extended methodological appendices and the full coded database have been deposited on OSF as supplementary materials accompanying this submission.</w:t>
      </w:r>
    </w:p>
    <w:bookmarkEnd w:id="31"/>
    <w:bookmarkStart w:id="32" w:name="ethics-statement"/>
    <w:p>
      <w:pPr>
        <w:pStyle w:val="Heading2"/>
      </w:pPr>
      <w:r>
        <w:t xml:space="preserve">Ethics Statement</w:t>
      </w:r>
    </w:p>
    <w:p>
      <w:pPr>
        <w:pStyle w:val="FirstParagraph"/>
      </w:pPr>
      <w:r>
        <w:t xml:space="preserve">This research is a meta-analysis of previously published, anonymized aggregate effect sizes from secondary sources. No primary data collection from human or animal subjects was conducted; institutional review board approval was therefore not required.</w:t>
      </w:r>
    </w:p>
    <w:bookmarkEnd w:id="32"/>
    <w:bookmarkStart w:id="33"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documentation. All conceptual framing, hypothesis development, systematic search design, effect-size coding, meta-analytic estimation, results interpretation, and final wording were authored by the human authors, who take full responsibility for the content of the publication.</w:t>
      </w:r>
    </w:p>
    <w:bookmarkEnd w:id="33"/>
    <w:bookmarkStart w:id="34"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paper (meta-analysis)</w:t>
            </w:r>
          </w:p>
        </w:tc>
      </w:tr>
      <w:tr>
        <w:tc>
          <w:tcPr/>
          <w:p>
            <w:pPr>
              <w:pStyle w:val="Compact"/>
              <w:jc w:val="left"/>
            </w:pPr>
            <w:r>
              <w:t xml:space="preserve">Word count (main text)</w:t>
            </w:r>
          </w:p>
        </w:tc>
        <w:tc>
          <w:tcPr/>
          <w:p>
            <w:pPr>
              <w:pStyle w:val="Compact"/>
              <w:jc w:val="left"/>
            </w:pPr>
            <m:oMath>
              <m:r>
                <m:rPr>
                  <m:sty m:val="p"/>
                </m:rPr>
                <m:t>≈</m:t>
              </m:r>
            </m:oMath>
            <w:r>
              <w:t xml:space="preserve"> </w:t>
            </w:r>
            <w:r>
              <w:t xml:space="preserve">6,900 words; submission build will streamline to MBR's 8,000-word total cap (incl. refs &amp; appendices migrated to OSF)</w:t>
            </w:r>
          </w:p>
        </w:tc>
      </w:tr>
      <w:tr>
        <w:tc>
          <w:tcPr/>
          <w:p>
            <w:pPr>
              <w:pStyle w:val="Compact"/>
              <w:jc w:val="left"/>
            </w:pPr>
            <w:r>
              <w:t xml:space="preserve">Studies (</w:t>
            </w:r>
            <w:r>
              <w:rPr>
                <w:iCs/>
                <w:i/>
              </w:rPr>
              <w:t xml:space="preserve">k</w:t>
            </w:r>
            <w:r>
              <w:t xml:space="preserve">)</w:t>
            </w:r>
          </w:p>
        </w:tc>
        <w:tc>
          <w:tcPr/>
          <w:p>
            <w:pPr>
              <w:pStyle w:val="Compact"/>
              <w:jc w:val="left"/>
            </w:pPr>
            <w:r>
              <w:t xml:space="preserve">238 (verified baseline corpus)</w:t>
            </w:r>
          </w:p>
        </w:tc>
      </w:tr>
      <w:tr>
        <w:tc>
          <w:tcPr/>
          <w:p>
            <w:pPr>
              <w:pStyle w:val="Compact"/>
              <w:jc w:val="left"/>
            </w:pPr>
            <w:r>
              <w:t xml:space="preserve">Effect sizes (</w:t>
            </w:r>
            <w:r>
              <w:rPr>
                <w:iCs/>
                <w:i/>
              </w:rPr>
              <w:t xml:space="preserve">K</w:t>
            </w:r>
            <w:r>
              <w:t xml:space="preserve">)</w:t>
            </w:r>
          </w:p>
        </w:tc>
        <w:tc>
          <w:tcPr/>
          <w:p>
            <w:pPr>
              <w:pStyle w:val="Compact"/>
              <w:jc w:val="left"/>
            </w:pPr>
            <w:r>
              <w:t xml:space="preserve">288</w:t>
            </w:r>
          </w:p>
        </w:tc>
      </w:tr>
      <w:tr>
        <w:tc>
          <w:tcPr/>
          <w:p>
            <w:pPr>
              <w:pStyle w:val="Compact"/>
              <w:jc w:val="left"/>
            </w:pPr>
            <w:r>
              <w:t xml:space="preserve">Economies</w:t>
            </w:r>
          </w:p>
        </w:tc>
        <w:tc>
          <w:tcPr/>
          <w:p>
            <w:pPr>
              <w:pStyle w:val="Compact"/>
              <w:jc w:val="left"/>
            </w:pPr>
            <w:r>
              <w:t xml:space="preserve">49</w:t>
            </w:r>
          </w:p>
        </w:tc>
      </w:tr>
      <w:tr>
        <w:tc>
          <w:tcPr/>
          <w:p>
            <w:pPr>
              <w:pStyle w:val="Compact"/>
              <w:jc w:val="left"/>
            </w:pPr>
            <w:r>
              <w:t xml:space="preserve">Tables</w:t>
            </w:r>
          </w:p>
        </w:tc>
        <w:tc>
          <w:tcPr/>
          <w:p>
            <w:pPr>
              <w:pStyle w:val="Compact"/>
              <w:jc w:val="left"/>
            </w:pPr>
            <w:r>
              <w:t xml:space="preserve">5 (+ appendices on OSF)</w:t>
            </w:r>
          </w:p>
        </w:tc>
      </w:tr>
      <w:tr>
        <w:tc>
          <w:tcPr/>
          <w:p>
            <w:pPr>
              <w:pStyle w:val="Compact"/>
              <w:jc w:val="left"/>
            </w:pPr>
            <w:r>
              <w:t xml:space="preserve">Figures</w:t>
            </w:r>
          </w:p>
        </w:tc>
        <w:tc>
          <w:tcPr/>
          <w:p>
            <w:pPr>
              <w:pStyle w:val="Compact"/>
              <w:jc w:val="left"/>
            </w:pPr>
            <w:r>
              <w:t xml:space="preserve">6 (conceptual model; ICRV forest; DPL phase; leave-one-out sensitivity; funnel plot; year-distribution histogram)</w:t>
            </w:r>
          </w:p>
        </w:tc>
      </w:tr>
      <w:tr>
        <w:tc>
          <w:tcPr/>
          <w:p>
            <w:pPr>
              <w:pStyle w:val="Compact"/>
              <w:jc w:val="left"/>
            </w:pPr>
            <w:r>
              <w:t xml:space="preserve">Keywords</w:t>
            </w:r>
          </w:p>
        </w:tc>
        <w:tc>
          <w:tcPr/>
          <w:p>
            <w:pPr>
              <w:pStyle w:val="Compact"/>
              <w:jc w:val="left"/>
            </w:pPr>
            <w:r>
              <w:t xml:space="preserve">internationalization–performance; meta-analysis; three-level model; digital adoption; institutional context; publication bias</w:t>
            </w:r>
          </w:p>
        </w:tc>
      </w:tr>
      <w:tr>
        <w:tc>
          <w:tcPr/>
          <w:p>
            <w:pPr>
              <w:pStyle w:val="Compact"/>
              <w:jc w:val="left"/>
            </w:pPr>
            <w:r>
              <w:t xml:space="preserve">JEL codes</w:t>
            </w:r>
          </w:p>
        </w:tc>
        <w:tc>
          <w:tcPr/>
          <w:p>
            <w:pPr>
              <w:pStyle w:val="Compact"/>
              <w:jc w:val="left"/>
            </w:pPr>
            <w:r>
              <w:t xml:space="preserve">F23, O33, C83</w:t>
            </w:r>
          </w:p>
        </w:tc>
      </w:tr>
      <w:tr>
        <w:tc>
          <w:tcPr/>
          <w:p>
            <w:pPr>
              <w:pStyle w:val="Compact"/>
              <w:jc w:val="left"/>
            </w:pPr>
            <w:r>
              <w:t xml:space="preserve">Software</w:t>
            </w:r>
          </w:p>
        </w:tc>
        <w:tc>
          <w:tcPr/>
          <w:p>
            <w:pPr>
              <w:pStyle w:val="Compact"/>
              <w:jc w:val="left"/>
            </w:pPr>
            <w:r>
              <w:t xml:space="preserve">R (</w:t>
            </w:r>
            <w:r>
              <w:rPr>
                <w:iCs/>
                <w:i/>
              </w:rPr>
              <w:t xml:space="preserve">metafor</w:t>
            </w:r>
            <w:r>
              <w:t xml:space="preserve">); Python (numpy / scipy) independent verification</w:t>
            </w:r>
          </w:p>
        </w:tc>
      </w:tr>
      <w:tr>
        <w:tc>
          <w:tcPr/>
          <w:p>
            <w:pPr>
              <w:pStyle w:val="Compact"/>
              <w:jc w:val="left"/>
            </w:pPr>
            <w:r>
              <w:t xml:space="preserve">Pre-registration</w:t>
            </w:r>
          </w:p>
        </w:tc>
        <w:tc>
          <w:tcPr/>
          <w:p>
            <w:pPr>
              <w:pStyle w:val="Compact"/>
              <w:jc w:val="left"/>
            </w:pPr>
            <w:r>
              <w:t xml:space="preserve">OSF</w:t>
            </w:r>
            <w:r>
              <w:t xml:space="preserve"> </w:t>
            </w:r>
            <w:hyperlink r:id="rId30">
              <w:r>
                <w:rPr>
                  <w:rStyle w:val="Hyperlink"/>
                </w:rPr>
                <w:t xml:space="preserve">https://osf.io/z37kn</w:t>
              </w:r>
            </w:hyperlink>
            <w:r>
              <w:t xml:space="preserve"> </w:t>
            </w:r>
            <w:r>
              <w:t xml:space="preserve">(DOI: 10.17605/OSF.IO/Z37KN)</w:t>
            </w:r>
          </w:p>
        </w:tc>
      </w:tr>
      <w:tr>
        <w:tc>
          <w:tcPr/>
          <w:p>
            <w:pPr>
              <w:pStyle w:val="Compact"/>
              <w:jc w:val="left"/>
            </w:pPr>
            <w:r>
              <w:t xml:space="preserve">Reference style</w:t>
            </w:r>
          </w:p>
        </w:tc>
        <w:tc>
          <w:tcPr/>
          <w:p>
            <w:pPr>
              <w:pStyle w:val="Compact"/>
              <w:jc w:val="left"/>
            </w:pPr>
            <w:r>
              <w:t xml:space="preserve">APA 7 (manuscript) — convertible to Emerald Harvard at production stage</w:t>
            </w:r>
          </w:p>
        </w:tc>
      </w:tr>
    </w:tbl>
    <w:bookmarkEnd w:id="34"/>
    <w:bookmarkEnd w:id="3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3"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3"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2026-05-30T13:03:22Z</dcterms:created>
  <dcterms:modified xsi:type="dcterms:W3CDTF">2026-05-30T13:03:22Z</dcterms:modified>
</cp:coreProperties>
</file>

<file path=docProps/custom.xml><?xml version="1.0" encoding="utf-8"?>
<Properties xmlns="http://schemas.openxmlformats.org/officeDocument/2006/custom-properties" xmlns:vt="http://schemas.openxmlformats.org/officeDocument/2006/docPropsVTypes"/>
</file>