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 the "I-P relationship" —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 not a universal mechanism —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 absent from all prior meta-analyses —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 including national digital infrastructure —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 cloud analytics, real-time demand signals, B2B platforms —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w:t>
      </w:r>
      <w:r>
        <w:t xml:space="preserve">— ICRV-I shows the largest pooled effect (all three CIMT mechanisms active).</w:t>
      </w:r>
      <w:r>
        <w:t xml:space="preserve"> </w:t>
      </w:r>
      <w:r>
        <w:rPr>
          <w:bCs/>
          <w:b/>
        </w:rPr>
        <w:t xml:space="preserve">E1b</w:t>
      </w:r>
      <w:r>
        <w:t xml:space="preserve"> </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 cloud logistics, B2B e-commerce, electronic payments, digital trade finance —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w:t>
      </w:r>
      <w:r>
        <w:t xml:space="preserve"> </w:t>
      </w:r>
      <w:r>
        <w:t xml:space="preserve">The analyzed corpus for this article is</w:t>
      </w:r>
      <w:r>
        <w:t xml:space="preserve"> </w:t>
      </w:r>
      <w:r>
        <w:rPr>
          <w:iCs/>
          <w:i/>
        </w:rPr>
        <w:t xml:space="preserve">k</w:t>
      </w:r>
      <w:r>
        <w:t xml:space="preserve"> </w:t>
      </w:r>
      <w:r>
        <w:t xml:space="preserve">= 238 studies (</w:t>
      </w:r>
      <w:r>
        <w:rPr>
          <w:iCs/>
          <w:i/>
        </w:rPr>
        <w:t xml:space="preserve">K</w:t>
      </w:r>
      <w:r>
        <w:t xml:space="preserve"> </w:t>
      </w:r>
      <w:r>
        <w:t xml:space="preserve">= 288 effect sizes), assembled via backward and forward citation tracking of five anchor meta-analyses plus hand-search and coded to the eligibility criteria above. Separately, a Web of Science + Scopus database search (20 May 2026) returned 3,263 records, reduced after deduplication, L1 keyword pre-screening, and an 8-round L2 title-and-abstract screening pass (rule-based scripts + manual + WebSearch-assisted abstract retrieval) to 435 priority full-text extraction candidates; this database-search expansion is in progress and is not part of the effects analyzed here. The full PRISMA 2020 flow and the round-by-round screening trace are provided as</w:t>
      </w:r>
      <w:r>
        <w:t xml:space="preserve"> </w:t>
      </w:r>
      <w:r>
        <w:rPr>
          <w:bCs/>
          <w:b/>
        </w:rPr>
        <w:t xml:space="preserve">Supp-A</w:t>
      </w:r>
      <w:r>
        <w:t xml:space="preserve"> </w:t>
      </w:r>
      <w:r>
        <w:t xml:space="preserve">and</w:t>
      </w:r>
      <w:r>
        <w:t xml:space="preserve"> </w:t>
      </w:r>
      <w:r>
        <w:rPr>
          <w:bCs/>
          <w:b/>
        </w:rPr>
        <w:t xml:space="preserve">Supp-T5</w:t>
      </w:r>
      <w:r>
        <w:t xml:space="preserve"> </w:t>
      </w:r>
      <w:r>
        <w:t xml:space="preserve">on OSF.</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0"/>
    <w:bookmarkStart w:id="41"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1"/>
    <w:bookmarkStart w:id="42"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4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 surveys of researchers, grey literature, and dissertations — to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§3.4 and detailed in Supp-B.</w:t>
      </w:r>
    </w:p>
    <w:bookmarkEnd w:id="82"/>
    <w:bookmarkEnd w:id="8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2026-05-30T13:03:21Z</dcterms:created>
  <dcterms:modified xsi:type="dcterms:W3CDTF">2026-05-30T13:03:21Z</dcterms:modified>
</cp:coreProperties>
</file>

<file path=docProps/custom.xml><?xml version="1.0" encoding="utf-8"?>
<Properties xmlns="http://schemas.openxmlformats.org/officeDocument/2006/custom-properties" xmlns:vt="http://schemas.openxmlformats.org/officeDocument/2006/docPropsVTypes"/>
</file>