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4.png" ContentType="image/png"/>
  <Override PartName="/word/media/rId58.png" ContentType="image/png"/>
  <Override PartName="/word/media/rId62.png" ContentType="image/png"/>
  <Override PartName="/word/media/rId4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Management International Review (MIR; Springer, Scopus Q1, ABS-3)</w:t>
      </w:r>
      <w:r>
        <w:t xml:space="preserve"> </w:t>
      </w:r>
      <w:r>
        <w:rPr>
          <w:iCs/>
          <w:i/>
        </w:rPr>
        <w:t xml:space="preserve">Version 1.2, May 2026 (target journal submission: Q3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across a globally representative corpus.</w:t>
      </w:r>
    </w:p>
    <w:p>
      <w:pPr>
        <w:pStyle w:val="BodyText"/>
      </w:pPr>
      <w:r>
        <w:rPr>
          <w:bCs/>
          <w:b/>
        </w:rPr>
        <w:t xml:space="preserve">Design/methodology/approach.</w:t>
      </w:r>
      <w:r>
        <w:t xml:space="preserve"> </w:t>
      </w:r>
      <w:r>
        <w:t xml:space="preserve">Following PRISMA 2020, a systematic review combining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a Web of Science and Scopus database search (1977–2026) was additionally conducted to scope a pre-registered expansion whose full-text extraction is ongoing. Three-level MARA decomposes within- and between-study heterogeneity using</w:t>
      </w:r>
      <w:r>
        <w:t xml:space="preserve"> </w:t>
      </w:r>
      <w:r>
        <w:rPr>
          <w:iCs/>
          <w:i/>
        </w:rPr>
        <w:t xml:space="preserve">metafor</w:t>
      </w:r>
      <w:r>
        <w:t xml:space="preserve">, under OSF pre-registration of the hypotheses and analysis plan.</w:t>
      </w:r>
    </w:p>
    <w:p>
      <w:pPr>
        <w:pStyle w:val="BodyText"/>
      </w:pPr>
      <w:r>
        <w:rPr>
          <w:bCs/>
          <w:b/>
        </w:rPr>
        <w:t xml:space="preserve">Findings.</w:t>
      </w:r>
      <w:r>
        <w:t xml:space="preserve"> </w:t>
      </w:r>
      <w:r>
        <w:t xml:space="preserve">The baseline pooled effect is</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hypothesized moderators show limited support: the full-sample ICRV omnibus is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not robust — a drop-Frontier sensitivity test on the four well-populated regimes reduces it to non-significance (</w:t>
      </w:r>
      <w:r>
        <w:rPr>
          <w:iCs/>
          <w:i/>
        </w:rPr>
        <w:t xml:space="preserve">Q</w:t>
      </w:r>
      <w:r>
        <w:t xml:space="preserve">_M = 1.49,</w:t>
      </w:r>
      <w:r>
        <w:t xml:space="preserve"> </w:t>
      </w:r>
      <w:r>
        <w:rPr>
          <w:iCs/>
          <w:i/>
        </w:rPr>
        <w:t xml:space="preserve">p</w:t>
      </w:r>
      <w:r>
        <w:t xml:space="preserve"> </w:t>
      </w:r>
      <w:r>
        <w:t xml:space="preserve">= .68); cDAI and DPL moderation are non-significant throughout. The most consequential result is substantial publication bias: trim-and-fill imputes</w:t>
      </w:r>
      <w:r>
        <w:t xml:space="preserve"> </w:t>
      </w:r>
      <w:r>
        <w:rPr>
          <w:iCs/>
          <w:i/>
        </w:rPr>
        <w:t xml:space="preserve">k</w:t>
      </w:r>
      <w:r>
        <w:t xml:space="preserve"> </w:t>
      </w:r>
      <w:r>
        <w:t xml:space="preserve">= 58 missing studies, cutting the pooled effect to</w:t>
      </w:r>
      <w:r>
        <w:t xml:space="preserve"> </w:t>
      </w:r>
      <w:r>
        <w:rPr>
          <w:iCs/>
          <w:i/>
        </w:rPr>
        <w:t xml:space="preserve">r</w:t>
      </w:r>
      <w:r>
        <w:t xml:space="preserve"> </w:t>
      </w:r>
      <w:r>
        <w:t xml:space="preserve">= .035 (95% CI [.023, .048]),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Research limitations/implications.</w:t>
      </w:r>
      <w:r>
        <w:t xml:space="preserve"> </w:t>
      </w:r>
      <w:r>
        <w:t xml:space="preserve">Sparse Frontier (</w:t>
      </w:r>
      <w:r>
        <w:rPr>
          <w:iCs/>
          <w:i/>
        </w:rPr>
        <w:t xml:space="preserve">K</w:t>
      </w:r>
      <w:r>
        <w:t xml:space="preserve"> </w:t>
      </w:r>
      <w:r>
        <w:t xml:space="preserve">= 3) and SIDS (</w:t>
      </w:r>
      <w:r>
        <w:rPr>
          <w:iCs/>
          <w:i/>
        </w:rPr>
        <w:t xml:space="preserve">K</w:t>
      </w:r>
      <w:r>
        <w:t xml:space="preserve"> </w:t>
      </w:r>
      <w:r>
        <w:t xml:space="preserve">= 0) cells limit power for between-regime tests; single-coder extraction precludes inter-coder reliability statistics.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Practical implications.</w:t>
      </w:r>
      <w:r>
        <w:t xml:space="preserve"> </w:t>
      </w:r>
      <w:r>
        <w:t xml:space="preserve">Managers should not expect automatic performance gains from internationalization: the bias-corrected pooled effect (</w:t>
      </w:r>
      <w:r>
        <w:rPr>
          <w:iCs/>
          <w:i/>
        </w:rPr>
        <w:t xml:space="preserve">r</w:t>
      </w:r>
      <w:r>
        <w:t xml:space="preserve"> </w:t>
      </w:r>
      <w:r>
        <w:t xml:space="preserve">= .035) is substantially smaller than published estimates suggest. National digital infrastructure alone does not amplify I-P returns; firm-level digital capability appears more decisive.</w:t>
      </w:r>
    </w:p>
    <w:p>
      <w:pPr>
        <w:pStyle w:val="BodyText"/>
      </w:pPr>
      <w:r>
        <w:rPr>
          <w:bCs/>
          <w:b/>
        </w:rPr>
        <w:t xml:space="preserve">Originality/value.</w:t>
      </w:r>
      <w:r>
        <w:t xml:space="preserve"> </w:t>
      </w:r>
      <w:r>
        <w:t xml:space="preserve">This is the first three-level MARA of the I-P literature, the first pre-registered meta-analytic test of cDAI, ICRV regime, and DPL phase as moderators, and the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 the "I-P relationship" —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 not a universal mechanism —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 absent from all prior meta-analyses —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first three-level MARA of the I-P literature; (2) first PRISMA-2020-compliant search with OSF pre-registration for this topic; (3) first within-study vs. between-study heterogeneity decomposition of I-P.</w:t>
      </w:r>
      <w:r>
        <w:t xml:space="preserve"> </w:t>
      </w:r>
      <w:r>
        <w:rPr>
          <w:iCs/>
          <w:i/>
        </w:rPr>
        <w:t xml:space="preserve">Theoretically</w:t>
      </w:r>
      <w:r>
        <w:t xml:space="preserve">: (4) first meta-analytic test of an ICRV 6-regime framework on a globally representative I-P corpus (five of six regimes populated; Pacific-SIDS Regime VI returns no qualifying studies); (5) first formal test of cDAI as a national digital-infrastructure moderator of I-P; (6) first test of DPL phase as a temporal moderator via three-level MARA. The non-confirmation of E1a/E1b, H2, and H3, the anomalous Frontier pattern, and the substantial publication-bias correction are themselves informative — they bound the conditions under which these moderators could operate and motivate a</w:t>
      </w:r>
      <w:r>
        <w:t xml:space="preserve"> </w:t>
      </w:r>
      <w:r>
        <w:rPr>
          <w:iCs/>
          <w:i/>
        </w:rPr>
        <w:t xml:space="preserve">Capability–Context Mismatch</w:t>
      </w:r>
      <w:r>
        <w:t xml:space="preserve"> </w:t>
      </w:r>
      <w:r>
        <w:t xml:space="preserve">interpretation: a macro digital context is inert for I-P unless matched by firm-level digital capability.</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 including national digital infrastructure —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 cloud analytics, real-time demand signals, B2B platforms —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w:t>
      </w:r>
      <w:r>
        <w:t xml:space="preserve">— ICRV-I shows the largest pooled effect (all three CIMT mechanisms active).</w:t>
      </w:r>
      <w:r>
        <w:t xml:space="preserve"> </w:t>
      </w:r>
      <w:r>
        <w:rPr>
          <w:bCs/>
          <w:b/>
        </w:rPr>
        <w:t xml:space="preserve">E1b</w:t>
      </w:r>
      <w:r>
        <w:t xml:space="preserve"> </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 cloud logistics, B2B e-commerce, electronic payments, digital trade finance —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Four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The extraction codebook accompanying the data (v1.1) documents the coding actually applied; the registered v1.0 scheme remains in the frozen OSF record.</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w:t>
      </w:r>
      <w:r>
        <w:t xml:space="preserve"> </w:t>
      </w:r>
      <w:r>
        <w:t xml:space="preserve">The analyzed corpus for this article is</w:t>
      </w:r>
      <w:r>
        <w:t xml:space="preserve"> </w:t>
      </w:r>
      <w:r>
        <w:rPr>
          <w:iCs/>
          <w:i/>
        </w:rPr>
        <w:t xml:space="preserve">k</w:t>
      </w:r>
      <w:r>
        <w:t xml:space="preserve"> </w:t>
      </w:r>
      <w:r>
        <w:t xml:space="preserve">= 238 studies (</w:t>
      </w:r>
      <w:r>
        <w:rPr>
          <w:iCs/>
          <w:i/>
        </w:rPr>
        <w:t xml:space="preserve">K</w:t>
      </w:r>
      <w:r>
        <w:t xml:space="preserve"> </w:t>
      </w:r>
      <w:r>
        <w:t xml:space="preserve">= 288 effect sizes), assembled via backward and forward citation tracking of five anchor meta-analyses plus hand-search and coded to the eligibility criteria above. Separately, a Web of Science + Scopus database search (20 May 2026) returned 3,263 records, reduced after deduplication, L1 keyword pre-screening, and an 8-round L2 title-and-abstract screening pass (rule-based scripts + manual + WebSearch-assisted abstract retrieval) to 435 priority full-text extraction candidates; this database-search expansion is in progress and is not part of the effects analyzed here. The full PRISMA 2020 flow and the round-by-round screening trace are provided as</w:t>
      </w:r>
      <w:r>
        <w:t xml:space="preserve"> </w:t>
      </w:r>
      <w:r>
        <w:rPr>
          <w:bCs/>
          <w:b/>
        </w:rPr>
        <w:t xml:space="preserve">Supp-A</w:t>
      </w:r>
      <w:r>
        <w:t xml:space="preserve"> </w:t>
      </w:r>
      <w:r>
        <w:t xml:space="preserve">and</w:t>
      </w:r>
      <w:r>
        <w:t xml:space="preserve"> </w:t>
      </w:r>
      <w:r>
        <w:rPr>
          <w:bCs/>
          <w:b/>
        </w:rPr>
        <w:t xml:space="preserve">Supp-T5</w:t>
      </w:r>
      <w:r>
        <w:t xml:space="preserve"> </w:t>
      </w:r>
      <w:r>
        <w:t xml:space="preserve">on OSF.</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(by the first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5"/>
    <w:bookmarkStart w:id="36"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Full model equations and estimator rationale are provided as</w:t>
      </w:r>
      <w:r>
        <w:t xml:space="preserve"> </w:t>
      </w:r>
      <w:r>
        <w:rPr>
          <w:bCs/>
          <w:b/>
        </w:rPr>
        <w:t xml:space="preserve">Supp-M</w:t>
      </w:r>
      <w:r>
        <w:t xml:space="preserve">.</w:t>
      </w:r>
    </w:p>
    <w:bookmarkEnd w:id="40"/>
    <w:bookmarkStart w:id="41" w:name="X2f1abb1755f8cc5892d8e5725c0dbd361d50806"/>
    <w:p>
      <w:pPr>
        <w:pStyle w:val="Heading3"/>
      </w:pPr>
      <w:r>
        <w:t xml:space="preserve">3.6 Publication Bias Assessment</w:t>
      </w:r>
    </w:p>
    <w:p>
      <w:pPr>
        <w:pStyle w:val="FirstParagraph"/>
      </w:pPr>
      <w:r>
        <w:t xml:space="preserve">Four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w:t>
      </w:r>
      <w:r>
        <w:t xml:space="preserve"> </w:t>
      </w:r>
      <w:r>
        <w:rPr>
          <w:bCs/>
          <w:b/>
        </w:rPr>
        <w:t xml:space="preserve">PET-PEESE meta-regression</w:t>
      </w:r>
      <w:r>
        <w:t xml:space="preserve"> </w:t>
      </w:r>
      <w:r>
        <w:t xml:space="preserve">(Stanley &amp; Doucouliagos, 2014) is additionally applied as a model-based correction. Test specifications are detailed in</w:t>
      </w:r>
      <w:r>
        <w:t xml:space="preserve"> </w:t>
      </w:r>
      <w:r>
        <w:rPr>
          <w:bCs/>
          <w:b/>
        </w:rPr>
        <w:t xml:space="preserve">Supp-M</w:t>
      </w:r>
      <w:r>
        <w:t xml:space="preserve">.</w:t>
      </w:r>
    </w:p>
    <w:bookmarkEnd w:id="41"/>
    <w:bookmarkStart w:id="42" w:name="Xe36430cf7d8e0a8c6df93020e9507d5e203e939"/>
    <w:p>
      <w:pPr>
        <w:pStyle w:val="Heading3"/>
      </w:pPr>
      <w:r>
        <w:t xml:space="preserve">3.7 Robustness Checks</w:t>
      </w:r>
    </w:p>
    <w:p>
      <w:pPr>
        <w:pStyle w:val="FirstParagraph"/>
      </w:pPr>
      <w:r>
        <w:t xml:space="preserve">Five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Detailed specifications are provided in</w:t>
      </w:r>
      <w:r>
        <w:t xml:space="preserve"> </w:t>
      </w:r>
      <w:r>
        <w:rPr>
          <w:bCs/>
          <w:b/>
        </w:rPr>
        <w:t xml:space="preserve">Supp-M</w:t>
      </w:r>
      <w:r>
        <w:t xml:space="preserve">.</w:t>
      </w:r>
    </w:p>
    <w:p>
      <w:r>
        <w:pict>
          <v:rect style="width:0;height:1.5pt" o:hralign="center" o:hrstd="t" o:hr="t"/>
        </w:pict>
      </w:r>
    </w:p>
    <w:bookmarkEnd w:id="42"/>
    <w:bookmarkEnd w:id="43"/>
    <w:bookmarkStart w:id="66" w:name="X121719332867ee227f0a04b486098cee978c6e6"/>
    <w:p>
      <w:pPr>
        <w:pStyle w:val="Heading2"/>
      </w:pPr>
      <w:r>
        <w:t xml:space="preserve">4. Results</w:t>
      </w:r>
    </w:p>
    <w:bookmarkStart w:id="47"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5" name="Picture"/>
            <a:graphic>
              <a:graphicData uri="http://schemas.openxmlformats.org/drawingml/2006/picture">
                <pic:pic>
                  <pic:nvPicPr>
                    <pic:cNvPr descr="figures/figure6_year_distribution.png" id="46" name="Picture"/>
                    <pic:cNvPicPr>
                      <a:picLocks noChangeArrowheads="1" noChangeAspect="1"/>
                    </pic:cNvPicPr>
                  </pic:nvPicPr>
                  <pic:blipFill>
                    <a:blip r:embed="rId44"/>
                    <a:stretch>
                      <a:fillRect/>
                    </a:stretch>
                  </pic:blipFill>
                  <pic:spPr bwMode="auto">
                    <a:xfrm>
                      <a:off x="0" y="0"/>
                      <a:ext cx="5753100" cy="2547026"/>
                    </a:xfrm>
                    <a:prstGeom prst="rect">
                      <a:avLst/>
                    </a:prstGeom>
                    <a:noFill/>
                    <a:ln w="9525">
                      <a:noFill/>
                      <a:headEnd/>
                      <a:tailEnd/>
                    </a:ln>
                  </pic:spPr>
                </pic:pic>
              </a:graphicData>
            </a:graphic>
          </wp:inline>
        </w:drawing>
      </w:r>
    </w:p>
    <w:bookmarkEnd w:id="47"/>
    <w:bookmarkStart w:id="48"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48"/>
    <w:bookmarkStart w:id="52" w:name="X58c962719f77434e3e9b87bd1741b5544c6666a"/>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0" name="Picture"/>
            <a:graphic>
              <a:graphicData uri="http://schemas.openxmlformats.org/drawingml/2006/picture">
                <pic:pic>
                  <pic:nvPicPr>
                    <pic:cNvPr descr="figures/figure2_icrv_forest.png" id="51" name="Picture"/>
                    <pic:cNvPicPr>
                      <a:picLocks noChangeArrowheads="1" noChangeAspect="1"/>
                    </pic:cNvPicPr>
                  </pic:nvPicPr>
                  <pic:blipFill>
                    <a:blip r:embed="rId49"/>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2"/>
    <w:bookmarkStart w:id="53"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CDCM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3"/>
    <w:bookmarkStart w:id="57"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5" name="Picture"/>
            <a:graphic>
              <a:graphicData uri="http://schemas.openxmlformats.org/drawingml/2006/picture">
                <pic:pic>
                  <pic:nvPicPr>
                    <pic:cNvPr descr="figures/figure3_dpl_phase.png" id="56" name="Picture"/>
                    <pic:cNvPicPr>
                      <a:picLocks noChangeArrowheads="1" noChangeAspect="1"/>
                    </pic:cNvPicPr>
                  </pic:nvPicPr>
                  <pic:blipFill>
                    <a:blip r:embed="rId54"/>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57"/>
    <w:bookmarkStart w:id="6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BodyText"/>
      </w:pPr>
      <w:r>
        <w:drawing>
          <wp:inline>
            <wp:extent cx="5753100" cy="4601444"/>
            <wp:effectExtent b="0" l="0" r="0" t="0"/>
            <wp:docPr descr="Figure 4: Funnel plot with trim-and-fill imputed studies" title="" id="59" name="Picture"/>
            <a:graphic>
              <a:graphicData uri="http://schemas.openxmlformats.org/drawingml/2006/picture">
                <pic:pic>
                  <pic:nvPicPr>
                    <pic:cNvPr descr="figures/figure4_funnel_plot.png" id="60" name="Picture"/>
                    <pic:cNvPicPr>
                      <a:picLocks noChangeArrowheads="1" noChangeAspect="1"/>
                    </pic:cNvPicPr>
                  </pic:nvPicPr>
                  <pic:blipFill>
                    <a:blip r:embed="rId58"/>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1"/>
    <w:bookmarkStart w:id="65"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3" name="Picture"/>
            <a:graphic>
              <a:graphicData uri="http://schemas.openxmlformats.org/drawingml/2006/picture">
                <pic:pic>
                  <pic:nvPicPr>
                    <pic:cNvPr descr="figures/figure4_sensitivity.png" id="64" name="Picture"/>
                    <pic:cNvPicPr>
                      <a:picLocks noChangeArrowheads="1" noChangeAspect="1"/>
                    </pic:cNvPicPr>
                  </pic:nvPicPr>
                  <pic:blipFill>
                    <a:blip r:embed="rId62"/>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5"/>
    <w:bookmarkEnd w:id="66"/>
    <w:bookmarkStart w:id="71" w:name="X735612638e4e736e4693e459c258977262c0dfc"/>
    <w:p>
      <w:pPr>
        <w:pStyle w:val="Heading2"/>
      </w:pPr>
      <w:r>
        <w:t xml:space="preserve">5. Discussion</w:t>
      </w:r>
    </w:p>
    <w:bookmarkStart w:id="67"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7"/>
    <w:bookmarkStart w:id="68"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w:t>
      </w:r>
      <w:r>
        <w:t xml:space="preserve"> </w:t>
      </w:r>
      <m:oMath>
        <m:r>
          <m:t>τ</m:t>
        </m:r>
      </m:oMath>
      <w:r>
        <w:t xml:space="preserve"> </w:t>
      </w:r>
      <w:r>
        <w:t xml:space="preserve">(</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 "positive I-P relationship" is partially an artifact of selective publication rather than a robust phenomenon.</w:t>
      </w:r>
    </w:p>
    <w:bookmarkEnd w:id="68"/>
    <w:bookmarkStart w:id="69"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9"/>
    <w:bookmarkStart w:id="70"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0"/>
    <w:bookmarkEnd w:id="71"/>
    <w:bookmarkStart w:id="72"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 methodological choices within papers contribute substantially more to dispersion than cross-country institutional contexts.</w:t>
      </w:r>
    </w:p>
    <w:p>
      <w:pPr>
        <w:pStyle w:val="BodyText"/>
      </w:pPr>
      <w:r>
        <w:rPr>
          <w:bCs/>
          <w:b/>
        </w:rPr>
        <w:t xml:space="preserve">Constraints on inference.</w:t>
      </w:r>
      <w:r>
        <w:t xml:space="preserve"> </w:t>
      </w:r>
      <w:r>
        <w:t xml:space="preserve">Five limitations bound these conclusions. (1) The directional gradient and cDAI/DPL nulls may reflect insufficient</w:t>
      </w:r>
      <w:r>
        <w:t xml:space="preserve"> </w:t>
      </w:r>
      <w:r>
        <w:rPr>
          <w:iCs/>
          <w:i/>
        </w:rPr>
        <w:t xml:space="preserve">k</w:t>
      </w:r>
      <w:r>
        <w:t xml:space="preserve"> </w:t>
      </w:r>
      <w:r>
        <w:t xml:space="preserve">in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 formal Frontier/SIDS-targeted WoS/Scopus search is required before the gradient null can be treated as definitive. (2) The Frontier-cell anomaly (</w:t>
      </w:r>
      <w:r>
        <w:rPr>
          <w:iCs/>
          <w:i/>
        </w:rPr>
        <w:t xml:space="preserve">r̄</w:t>
      </w:r>
      <w:r>
        <w:t xml:space="preserve"> </w:t>
      </w:r>
      <w:r>
        <w:t xml:space="preserve">= 0.349 on</w:t>
      </w:r>
      <w:r>
        <w:t xml:space="preserve"> </w:t>
      </w:r>
      <w:r>
        <w:rPr>
          <w:iCs/>
          <w:i/>
        </w:rPr>
        <w:t xml:space="preserve">K</w:t>
      </w:r>
      <w:r>
        <w:t xml:space="preserve"> </w:t>
      </w:r>
      <w:r>
        <w:t xml:space="preserve">= 3, with one Iranian outlier) yields an unreliable estimate. (3) cDAI is assigned at the study level via country-year WB DAI / ITU DDI scores, not derived from firm-level digital adoption; vintage mismatch may attenuate the moderation. (4) Search restricted to English-language publications under-represents Chinese, Japanese, Korean, and Southeast Asian work. (5) Single-coder extraction and moderator coding (by the first author) precluded formal inter-coder reliability; coding quality is supported by pilot calibration and double-entry verification (§3.3.2). A dual-coded reliability check is a priority for the planned formal-search expansion.</w:t>
      </w:r>
    </w:p>
    <w:p>
      <w:pPr>
        <w:pStyle w:val="BodyText"/>
      </w:pPr>
      <w:r>
        <w:rPr>
          <w:bCs/>
          <w:b/>
        </w:rPr>
        <w:t xml:space="preserve">Future research.</w:t>
      </w:r>
      <w:r>
        <w:t xml:space="preserve"> </w:t>
      </w:r>
      <w:r>
        <w:t xml:space="preserve">Three directions follow from the null moderator findings. First, a formal WoS/Scopus systematic search targeting Frontier and SIDS economies would lift Frontier</w:t>
      </w:r>
      <w:r>
        <w:t xml:space="preserve"> </w:t>
      </w:r>
      <w:r>
        <w:rPr>
          <w:iCs/>
          <w:i/>
        </w:rPr>
        <w:t xml:space="preserve">k</w:t>
      </w:r>
      <w:r>
        <w:t xml:space="preserve"> </w:t>
      </w:r>
      <w:r>
        <w:t xml:space="preserve">from 3 to a plausible 20–40, enabling a meaningful between-regime test. Second, a pre-registered replication of the ICRV/cDAI/DPL hypotheses with explicit per-cell power analysis on a</w:t>
      </w:r>
      <w:r>
        <w:t xml:space="preserve"> </w:t>
      </w:r>
      <w:r>
        <w:rPr>
          <w:iCs/>
          <w:i/>
        </w:rPr>
        <w:t xml:space="preserve">k</w:t>
      </w:r>
      <w:r>
        <w:t xml:space="preserve"> </w:t>
      </w:r>
      <w:r>
        <w:t xml:space="preserve">≥ 400 corpus would deliver a definitive test of whether these moderators are detectable at scale. Third, the publication-bias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audit of unpublished I-P results — surveys of researchers, grey literature, and dissertations — to bound the true population effect more precisely than trim-and-fill alone.</w:t>
      </w:r>
    </w:p>
    <w:p>
      <w:r>
        <w:pict>
          <v:rect style="width:0;height:1.5pt" o:hralign="center" o:hrstd="t" o:hr="t"/>
        </w:pic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3"/>
    <w:bookmarkStart w:id="74" w:name="competing-interests"/>
    <w:p>
      <w:pPr>
        <w:pStyle w:val="Heading2"/>
      </w:pPr>
      <w:r>
        <w:t xml:space="preserve">Competing Interests</w:t>
      </w:r>
    </w:p>
    <w:p>
      <w:pPr>
        <w:pStyle w:val="FirstParagraph"/>
      </w:pPr>
      <w:r>
        <w:t xml:space="preserve">The authors declare no conflict of interest.</w:t>
      </w:r>
    </w:p>
    <w:bookmarkEnd w:id="74"/>
    <w:bookmarkStart w:id="75"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5"/>
    <w:bookmarkStart w:id="81"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6">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78">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9">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0">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1"/>
    <w:bookmarkStart w:id="82"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§§1–6 prose, excluding tables, references, in-paper tables, and OSF supplementary materials):</w:t>
      </w:r>
      <w:r>
        <w:rPr>
          <w:iCs/>
          <w:i/>
        </w:rPr>
        <w:t xml:space="preserve"> </w:t>
      </w:r>
      <m:oMath>
        <m:r>
          <m:rPr>
            <m:sty m:val="p"/>
          </m:rPr>
          <m:t>≈</m:t>
        </m:r>
      </m:oMath>
      <w:r>
        <w:rPr>
          <w:iCs/>
          <w:i/>
        </w:rPr>
        <w:t xml:space="preserve"> </w:t>
      </w:r>
      <w:r>
        <w:rPr>
          <w:iCs/>
          <w:i/>
        </w:rPr>
        <w:t xml:space="preserve">7,940 words. Submission-build total (body + references + 3 in-paper tables × 280 + 6 figures × 280):</w:t>
      </w:r>
      <w:r>
        <w:rPr>
          <w:iCs/>
          <w:i/>
        </w:rPr>
        <w:t xml:space="preserve"> </w:t>
      </w:r>
      <m:oMath>
        <m:r>
          <m:rPr>
            <m:sty m:val="p"/>
          </m:rPr>
          <m:t>≈</m:t>
        </m:r>
      </m:oMath>
      <w:r>
        <w:rPr>
          <w:iCs/>
          <w:i/>
        </w:rPr>
        <w:t xml:space="preserve"> </w:t>
      </w:r>
      <w:r>
        <w:rPr>
          <w:iCs/>
          <w:i/>
        </w:rPr>
        <w:t xml:space="preserve">11,580 word-equivalents — within MIR's</w:t>
      </w:r>
      <w:r>
        <w:rPr>
          <w:iCs/>
          <w:i/>
        </w:rPr>
        <w:t xml:space="preserve"> </w:t>
      </w:r>
      <m:oMath>
        <m:r>
          <m:rPr>
            <m:sty m:val="p"/>
          </m:rPr>
          <m:t>≈</m:t>
        </m:r>
      </m:oMath>
      <w:r>
        <w:rPr>
          <w:iCs/>
          <w:i/>
        </w:rPr>
        <w:t xml:space="preserve"> </w:t>
      </w:r>
      <w:r>
        <w:rPr>
          <w:iCs/>
          <w:i/>
        </w:rPr>
        <w:t xml:space="preserve">12,000-word envelope.</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§3.4 and detailed in Supp-B.</w:t>
      </w:r>
    </w:p>
    <w:bookmarkEnd w:id="82"/>
    <w:bookmarkEnd w:id="8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44" Target="media/rId44.png" /><Relationship Type="http://schemas.openxmlformats.org/officeDocument/2006/relationships/image" Id="rId27" Target="media/rId27.png" /><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2026-05-30T13:03:22Z</dcterms:created>
  <dcterms:modified xsi:type="dcterms:W3CDTF">2026-05-30T13:03:22Z</dcterms:modified>
</cp:coreProperties>
</file>

<file path=docProps/custom.xml><?xml version="1.0" encoding="utf-8"?>
<Properties xmlns="http://schemas.openxmlformats.org/officeDocument/2006/custom-properties" xmlns:vt="http://schemas.openxmlformats.org/officeDocument/2006/docPropsVTypes"/>
</file>