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Phan Anh Tú</w:t>
      </w:r>
      <w:r>
        <w:t xml:space="preserve"> </w:t>
      </w:r>
      <w:r>
        <w:t xml:space="preserve">· Can Tho University</w:t>
      </w:r>
    </w:p>
    <w:p>
      <w:pPr>
        <w:pStyle w:val="BodyText"/>
      </w:pP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235 studies with approximately 385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235, K = 285 effects, r̄ = 0.075, 95% CI [0.061, 0.089]). Dashed arrows represent hypothesised moderating relationships. Three study-level constructs moderate the pooled I→P effect: (1) ICRV Regime (H1) — five-regime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285 effects within k = 235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hand-searching via backward citation tracking was applied to five anchor meta-analyses: Bausch and Krist (2007), Kirca et al. (2012), Marano et al. (2016), Schwens et al. (2018), and Arte and Larimo (2022). Google Scholar was searched with truncated variants of the primary string to identify grey literature and working papers meeting the eligibility criteria.</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"DOI" OR "export intensity")</w:t>
      </w:r>
      <w:r>
        <w:br/>
      </w:r>
      <w:r>
        <w:rPr>
          <w:rStyle w:val="VerbatimChar"/>
        </w:rPr>
        <w:t xml:space="preserve">AND TS = ("firm performance" OR "enterprise performance" OR "corporate performance"</w:t>
      </w:r>
      <w:r>
        <w:br/>
      </w:r>
      <w:r>
        <w:rPr>
          <w:rStyle w:val="VerbatimChar"/>
        </w:rPr>
        <w:t xml:space="preserve">          OR "ROA" OR "Tobin's Q" OR "return on assets" OR "profitability"</w:t>
      </w:r>
      <w:r>
        <w:br/>
      </w:r>
      <w:r>
        <w:rPr>
          <w:rStyle w:val="VerbatimChar"/>
        </w:rPr>
        <w:t xml:space="preserve">          OR "labor productivity" OR "total factor productivity")</w:t>
      </w:r>
      <w:r>
        <w:br/>
      </w:r>
      <w:r>
        <w:rPr>
          <w:rStyle w:val="VerbatimChar"/>
        </w:rPr>
        <w:t xml:space="preserve">AND TS = ("Asia" OR "Asian" OR "Pacific" OR "China" OR "Vietnam" OR "Singapore"</w:t>
      </w:r>
      <w:r>
        <w:br/>
      </w:r>
      <w:r>
        <w:rPr>
          <w:rStyle w:val="VerbatimChar"/>
        </w:rPr>
        <w:t xml:space="preserve">          OR "Korea" OR "Japan" OR "Indonesia" OR "Thailand" OR "emerging market"</w:t>
      </w:r>
      <w:r>
        <w:br/>
      </w:r>
      <w:r>
        <w:rPr>
          <w:rStyle w:val="VerbatimChar"/>
        </w:rPr>
        <w:t xml:space="preserve">          OR "developing economy" OR "transition economy")</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bl>
    <w:p>
      <w:pPr>
        <w:pStyle w:val="BodyText"/>
      </w:pPr>
      <w:r>
        <w:rPr>
          <w:bCs/>
          <w:b/>
        </w:rPr>
        <w:t xml:space="preserve">PRISMA 2020 flow.</w:t>
      </w:r>
      <w:r>
        <w:t xml:space="preserve"> </w:t>
      </w:r>
      <w:r>
        <w:t xml:space="preserve">Records identified (WoS + Scopus): 4,812 → After automated deduplication (Endnote X21): 3,104 → Title/abstract screen (two coders; κ = 0.79): 892 retained → Full-text assessment: 312 retained → Effect size extractable: 235 studies (≈ 385 effects). Detailed exclusion reasons at the full-text stage are reported in Appendix A.</w:t>
      </w:r>
    </w:p>
    <w:bookmarkEnd w:id="33"/>
    <w:bookmarkStart w:id="37" w:name="X1d41e663e785934d4feadbd21b81f03c51339a8"/>
    <w:p>
      <w:pPr>
        <w:pStyle w:val="Heading3"/>
      </w:pPr>
      <w:r>
        <w:t xml:space="preserve">3.3 Data Extraction and Quality Assurance</w:t>
      </w:r>
    </w:p>
    <w:bookmarkStart w:id="34" w:name="Xd58ca61430dc174d9f4cb9b3d2a6ad9bf93e040"/>
    <w:p>
      <w:pPr>
        <w:pStyle w:val="Heading4"/>
      </w:pPr>
      <w:r>
        <w:t xml:space="preserve">3.3.1 Automated Statistical Extraction (M-AIDA v7.0)</w:t>
      </w:r>
    </w:p>
    <w:p>
      <w:pPr>
        <w:pStyle w:val="FirstParagraph"/>
      </w:pPr>
      <w:r>
        <w:t xml:space="preserve">Statistical parameters were extracted using M-AIDA v7.0 (Meta-Analysis Intelligent Data Assistant; Do, 2025), a purpose-built semi-automated extraction system developed for IB meta-analysis. M-AIDA v7.0 integrates a large language model (LLM) inference engine with a domain-specific prompt architecture calibrated to the statistical reporting conventions of leading IB journals (JIBS, JWB, IBR, MIR). The system accepts PDF input and returns structured parameter objects containing: sample size (</w:t>
      </w:r>
      <w:r>
        <w:rPr>
          <w:iCs/>
          <w:i/>
        </w:rPr>
        <w:t xml:space="preserve">N</w:t>
      </w:r>
      <w:r>
        <w:t xml:space="preserve">), Pearson's</w:t>
      </w:r>
      <w:r>
        <w:t xml:space="preserve"> </w:t>
      </w:r>
      <w:r>
        <w:rPr>
          <w:iCs/>
          <w:i/>
        </w:rPr>
        <w:t xml:space="preserve">r</w:t>
      </w:r>
      <w:r>
        <w:t xml:space="preserve"> </w:t>
      </w:r>
      <w:r>
        <w:t xml:space="preserve">(direct or converted),</w:t>
      </w:r>
      <w:r>
        <w:t xml:space="preserve"> </w:t>
      </w:r>
      <w:r>
        <w:rPr>
          <w:iCs/>
          <w:i/>
        </w:rPr>
        <w:t xml:space="preserve">t</w:t>
      </w:r>
      <w:r>
        <w:t xml:space="preserve">-statistic, regression coefficient (β), degrees of freedom (</w:t>
      </w:r>
      <w:r>
        <w:rPr>
          <w:iCs/>
          <w:i/>
        </w:rPr>
        <w:t xml:space="preserve">df</w:t>
      </w:r>
      <w:r>
        <w:t xml:space="preserve">),</w:t>
      </w:r>
      <w:r>
        <w:t xml:space="preserve"> </w:t>
      </w:r>
      <w:r>
        <w:rPr>
          <w:iCs/>
          <w:i/>
        </w:rPr>
        <w:t xml:space="preserve">p</w:t>
      </w:r>
      <w:r>
        <w:t xml:space="preserve">-value, and asymmetric confidence interval bounds when reported.</w:t>
      </w:r>
    </w:p>
    <w:p>
      <w:pPr>
        <w:pStyle w:val="BodyText"/>
      </w:pPr>
      <w:r>
        <w:t xml:space="preserve">The extraction workflow comprises four sequential stages:</w:t>
      </w:r>
    </w:p>
    <w:p>
      <w:pPr>
        <w:numPr>
          <w:ilvl w:val="0"/>
          <w:numId w:val="1002"/>
        </w:numPr>
      </w:pPr>
      <w:r>
        <w:rPr>
          <w:bCs/>
          <w:b/>
        </w:rPr>
        <w:t xml:space="preserve">Document parsing.</w:t>
      </w:r>
      <w:r>
        <w:t xml:space="preserve"> </w:t>
      </w:r>
      <w:r>
        <w:t xml:space="preserve">PDF text is extracted using MuPDF and segmented into statistical reporting regions (tables, regression output blocks, footnotes) using heuristic layout analysis. Segmentation preserves table row–column correspondence to prevent coefficient–standard-error misalignment.</w:t>
      </w:r>
    </w:p>
    <w:p>
      <w:pPr>
        <w:numPr>
          <w:ilvl w:val="0"/>
          <w:numId w:val="1002"/>
        </w:numPr>
      </w:pPr>
      <w:r>
        <w:rPr>
          <w:bCs/>
          <w:b/>
        </w:rPr>
        <w:t xml:space="preserve">LLM-based parameter identification.</w:t>
      </w:r>
      <w:r>
        <w:t xml:space="preserve"> </w:t>
      </w:r>
      <w:r>
        <w:t xml:space="preserve">The parsed text is submitted to the LLM with a structured extraction prompt that (a) identifies the focal internationalization–performance regression or correlation, (b) distinguishes the I→P estimate from moderator interactions and control variable coefficients, and (c) flags multi-study papers (e.g., two samples or two time periods) for separate effect-size entries.</w:t>
      </w:r>
    </w:p>
    <w:p>
      <w:pPr>
        <w:numPr>
          <w:ilvl w:val="0"/>
          <w:numId w:val="1002"/>
        </w:numPr>
      </w:pPr>
      <w:r>
        <w:rPr>
          <w:bCs/>
          <w:b/>
        </w:rPr>
        <w:t xml:space="preserve">Effect-size conversion.</w:t>
      </w:r>
      <w:r>
        <w:t xml:space="preserve"> </w:t>
      </w:r>
      <w:r>
        <w:t xml:space="preserve">When direct</w:t>
      </w:r>
      <w:r>
        <w:t xml:space="preserve"> </w:t>
      </w:r>
      <w:r>
        <w:rPr>
          <w:iCs/>
          <w:i/>
        </w:rPr>
        <w:t xml:space="preserve">r</w:t>
      </w:r>
      <w:r>
        <w:t xml:space="preserve"> </w:t>
      </w:r>
      <w:r>
        <w:t xml:space="preserve">is unavailable, M-AIDA applies the following hierarchy of conversion formulae: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 (Cohen, 1988); (ii)</w:t>
      </w:r>
      <w:r>
        <w:t xml:space="preserve"> </w:t>
      </w:r>
      <w:r>
        <w:rPr>
          <w:iCs/>
          <w:i/>
        </w:rPr>
        <w:t xml:space="preserve">r</w:t>
      </w:r>
      <w:r>
        <w:t xml:space="preserve">_partial from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 </w:t>
      </w:r>
      <w:r>
        <w:t xml:space="preserve">with</w:t>
      </w:r>
      <w:r>
        <w:t xml:space="preserve"> </w:t>
      </w:r>
      <w:r>
        <w:rPr>
          <w:iCs/>
          <w:i/>
        </w:rPr>
        <w:t xml:space="preserve">df</w:t>
      </w:r>
      <w:r>
        <w:t xml:space="preserve">₁ = 1:</w:t>
      </w:r>
      <w:r>
        <w:t xml:space="preserve"> </w:t>
      </w:r>
      <w:r>
        <w:rPr>
          <w:iCs/>
          <w:i/>
        </w:rPr>
        <w:t xml:space="preserve">r</w:t>
      </w:r>
      <w:r>
        <w:t xml:space="preserve"> </w:t>
      </w:r>
      <w:r>
        <w:t xml:space="preserve">= √[</w:t>
      </w:r>
      <w:r>
        <w:rPr>
          <w:iCs/>
          <w:i/>
        </w:rPr>
        <w:t xml:space="preserve">F</w:t>
      </w:r>
      <w:r>
        <w:t xml:space="preserve">/(</w:t>
      </w:r>
      <w:r>
        <w:rPr>
          <w:iCs/>
          <w:i/>
        </w:rPr>
        <w:t xml:space="preserve">F</w:t>
      </w:r>
      <w:r>
        <w:t xml:space="preserve">+</w:t>
      </w:r>
      <w:r>
        <w:rPr>
          <w:iCs/>
          <w:i/>
        </w:rPr>
        <w:t xml:space="preserve">df</w:t>
      </w:r>
      <w:r>
        <w:t xml:space="preserve">₂)] (Rosenthal, 1994). Each converted estimate is flagged with a confidence score: 1.00 for direct</w:t>
      </w:r>
      <w:r>
        <w:t xml:space="preserve"> </w:t>
      </w:r>
      <w:r>
        <w:rPr>
          <w:iCs/>
          <w:i/>
        </w:rPr>
        <w:t xml:space="preserve">r</w:t>
      </w:r>
      <w:r>
        <w:t xml:space="preserve">; 0.85 for</w:t>
      </w:r>
      <w:r>
        <w:t xml:space="preserve"> </w:t>
      </w:r>
      <w:r>
        <w:rPr>
          <w:iCs/>
          <w:i/>
        </w:rPr>
        <w:t xml:space="preserve">r</w:t>
      </w:r>
      <w:r>
        <w:t xml:space="preserve"> </w:t>
      </w:r>
      <w:r>
        <w:t xml:space="preserve">from</w:t>
      </w:r>
      <w:r>
        <w:t xml:space="preserve"> </w:t>
      </w:r>
      <w:r>
        <w:rPr>
          <w:iCs/>
          <w:i/>
        </w:rPr>
        <w:t xml:space="preserve">t</w:t>
      </w:r>
      <w:r>
        <w:t xml:space="preserve">; 0.65 for</w:t>
      </w:r>
      <w:r>
        <w:t xml:space="preserve"> </w:t>
      </w:r>
      <w:r>
        <w:rPr>
          <w:iCs/>
          <w:i/>
        </w:rPr>
        <w:t xml:space="preserve">r</w:t>
      </w:r>
      <w:r>
        <w:t xml:space="preserve">_partial from β. Estimates with confidence &lt; 0.70 are automatically routed to the human verification queue.</w:t>
      </w:r>
    </w:p>
    <w:p>
      <w:pPr>
        <w:numPr>
          <w:ilvl w:val="0"/>
          <w:numId w:val="1002"/>
        </w:numPr>
      </w:pPr>
      <w:r>
        <w:rPr>
          <w:bCs/>
          <w:b/>
        </w:rPr>
        <w:t xml:space="preserve">Moderator pre-coding.</w:t>
      </w:r>
      <w:r>
        <w:t xml:space="preserve"> </w:t>
      </w:r>
      <w:r>
        <w:t xml:space="preserve">M-AIDA pre-populates ICRV regime (from country name and World Bank WGI Rule of Law scores), DPL phase (from the study's data-year range), and cDAI score (from ITU country-year lookup table), which human coders then verify rather than enter from scratch.</w:t>
      </w:r>
    </w:p>
    <w:p>
      <w:pPr>
        <w:pStyle w:val="FirstParagraph"/>
      </w:pPr>
      <w:r>
        <w:t xml:space="preserve">M-AIDA v7.0 achieves this workflow without writing extracted estimates to the permanent study database until explicit PI authorization is granted (see §3.3.2). All intermediate extraction outputs are retained in audit-trail logs for reproducibility verification.</w:t>
      </w:r>
    </w:p>
    <w:bookmarkEnd w:id="34"/>
    <w:bookmarkStart w:id="35" w:name="X74b89673e7a1c1b3e57d768d3e5c9868450e6c4"/>
    <w:p>
      <w:pPr>
        <w:pStyle w:val="Heading4"/>
      </w:pPr>
      <w:r>
        <w:t xml:space="preserve">3.3.2 Human Verification and PI Data Lock Protocol</w:t>
      </w:r>
    </w:p>
    <w:p>
      <w:pPr>
        <w:pStyle w:val="FirstParagraph"/>
      </w:pPr>
      <w:r>
        <w:t xml:space="preserve">Every M-AIDA-extracted record passes through a structured human verification stage before it is admitted to the analysis database. The verification interface presents the extracted parameter alongside the source text excerpt (highlighted in the original PDF) and the pre-coded moderator values. The PI reviews each field, applies overrides where the LLM extraction is incorrect or ambiguous, and enters a brief verification note. Verification is mandatory for all records with confidence score &lt; 0.70; it is recommended but optional for records with confidence ≥ 0.85.</w:t>
      </w:r>
    </w:p>
    <w:p>
      <w:pPr>
        <w:pStyle w:val="BodyText"/>
      </w:pPr>
      <w:r>
        <w:t xml:space="preserve">Upon PI approval, records are committed to the permanent study database via a PI data lock operation that is cryptographically timestamped and irreversible. Locked records constitute the analysis sample and cannot be modified; any correction requires documentation of the original error, the corrected value, and the PI's approval note in a versioned audit log. This protocol satisfies the reproducibility standards proposed by Lakens et al. (2020) for pre-registered meta-analyses and ensures that the analysis sample is immutably traceable to source documents.</w:t>
      </w:r>
    </w:p>
    <w:p>
      <w:pPr>
        <w:pStyle w:val="BodyText"/>
      </w:pPr>
      <w:r>
        <w:t xml:space="preserve">The M-AIDA extraction architecture — LLM-assisted parsing, automated conversion, staged human verification, and immutable data lock — constitutes a methodological contribution of the present study: it provides a replicable, partially automatable alternative to fully manual extraction for the IB meta-analysis domain, where effect-size extraction is particularly demanding due to heterogeneous reporting conventions across journals (Borenstein et al., 2021).</w:t>
      </w:r>
    </w:p>
    <w:bookmarkEnd w:id="35"/>
    <w:bookmarkStart w:id="36" w:name="X53d7a102e1079f9a0a3d8daa38852762d7bab5a"/>
    <w:p>
      <w:pPr>
        <w:pStyle w:val="Heading4"/>
      </w:pPr>
      <w:r>
        <w:t xml:space="preserve">3.3.3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6"/>
    <w:bookmarkEnd w:id="37"/>
    <w:bookmarkStart w:id="38"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3"/>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3"/>
        </w:numPr>
        <w:pStyle w:val="Compact"/>
      </w:pPr>
      <w:r>
        <w:rPr>
          <w:iCs/>
          <w:i/>
        </w:rPr>
        <w:t xml:space="preserve">Industry sector</w:t>
      </w:r>
      <w:r>
        <w:t xml:space="preserve"> </w:t>
      </w:r>
      <w:r>
        <w:t xml:space="preserve">— SIC broad division: manufacturing (SIC 20–39), services (SIC 40–89), or mixed/unspecified</w:t>
      </w:r>
    </w:p>
    <w:p>
      <w:pPr>
        <w:numPr>
          <w:ilvl w:val="0"/>
          <w:numId w:val="1003"/>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3"/>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Five-regime classification based on World Bank WGI Rule of Law score (2023 vintage), validated against IMF World Economic Outlook country classification: Regime I: Advanced-Innovation (WGI &gt; +0.80; e.g., Singapore, Hong Kong, South Korea, Japan, Australia); Regime II: Upper-Middle (0 &lt; WGI ≤ +0.80; e.g., China, Malaysia, Thailand); Regime III: Emerging (−0.50 &lt; WGI ≤ 0; e.g., Vietnam, India, Philippines); Regime IV: SIDS (small island developing states with WGI boundary; e.g., Fiji, PNG, Pacific island economies); Regime V: Frontier (WGI ≤ −0.50; e.g., Bangladesh, Myanmar, Cambodia)</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8"/>
    <w:bookmarkStart w:id="39"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4"/>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4"/>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4"/>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4"/>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4"/>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X121719332867ee227f0a04b486098cee978c6e6"/>
    <w:p>
      <w:pPr>
        <w:pStyle w:val="Heading2"/>
      </w:pPr>
      <w:r>
        <w:t xml:space="preserve">4. Results</w:t>
      </w:r>
    </w:p>
    <w:bookmarkStart w:id="43"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235 studies, approximately 385 effect sizes.</w:t>
      </w:r>
    </w:p>
    <w:p>
      <w:pPr>
        <w:pStyle w:val="BodyText"/>
      </w:pPr>
      <w:r>
        <w:rPr>
          <w:bCs/>
          <w:b/>
        </w:rPr>
        <w:t xml:space="preserve">Table 3.1 — Inter-coder reliability statistics</w:t>
      </w:r>
      <w:r>
        <w:t xml:space="preserve"> </w:t>
      </w:r>
      <w:r>
        <w:rPr>
          <w:iCs/>
          <w:i/>
        </w:rPr>
        <w:t xml:space="preserve">(20% double-coded subsample, k = 47 studies)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Cohen's κ</w:t>
            </w:r>
          </w:p>
        </w:tc>
        <w:tc>
          <w:tcPr/>
          <w:p>
            <w:pPr>
              <w:pStyle w:val="Compact"/>
              <w:jc w:val="left"/>
            </w:pPr>
            <w:r>
              <w:t xml:space="preserve">0.79</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0.81</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0.87</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0.83</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0.76</w:t>
            </w:r>
          </w:p>
        </w:tc>
        <w:tc>
          <w:tcPr/>
          <w:p>
            <w:pPr>
              <w:pStyle w:val="Compact"/>
              <w:jc w:val="left"/>
            </w:pPr>
            <w:r>
              <w:t xml:space="preserve">≥ 0.70</w:t>
            </w:r>
          </w:p>
        </w:tc>
        <w:tc>
          <w:tcPr/>
          <w:p>
            <w:pPr>
              <w:pStyle w:val="Compact"/>
              <w:jc w:val="left"/>
            </w:pPr>
            <w:r>
              <w:t xml:space="preserve">✓</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0.92</w:t>
            </w:r>
          </w:p>
        </w:tc>
        <w:tc>
          <w:tcPr/>
          <w:p>
            <w:pPr>
              <w:pStyle w:val="Compact"/>
              <w:jc w:val="left"/>
            </w:pPr>
            <w:r>
              <w:t xml:space="preserve">≥ 0.80</w:t>
            </w:r>
          </w:p>
        </w:tc>
        <w:tc>
          <w:tcPr/>
          <w:p>
            <w:pPr>
              <w:pStyle w:val="Compact"/>
              <w:jc w:val="left"/>
            </w:pPr>
            <w:r>
              <w:t xml:space="preserve">✓</w:t>
            </w:r>
          </w:p>
        </w:tc>
      </w:tr>
    </w:tbl>
    <w:p>
      <w:pPr>
        <w:pStyle w:val="BodyText"/>
      </w:pPr>
      <w:r>
        <w:rPr>
          <w:iCs/>
          <w:i/>
        </w:rPr>
        <w:t xml:space="preserve">Note.</w:t>
      </w:r>
      <w:r>
        <w:t xml:space="preserve"> </w:t>
      </w:r>
      <w:r>
        <w:t xml:space="preserve">All thresholds met prior to independent coding of the remaining 80% of the corpus. The lowest κ (ICRV regime, 0.79) reflects legitimate disagreement on Regime II/III boundary cases, resolved by PI lookup of WGI Rule of Law vintages.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rPr>
                <w:iCs/>
                <w:i/>
              </w:rPr>
              <w:t xml:space="preserve">k</w:t>
            </w:r>
          </w:p>
        </w:tc>
      </w:tr>
      <w:tr>
        <w:tc>
          <w:tcPr/>
          <w:p>
            <w:pPr>
              <w:pStyle w:val="Compact"/>
              <w:jc w:val="left"/>
            </w:pPr>
            <w:r>
              <w:t xml:space="preserve">ICRV Regime I — Advanced</w:t>
            </w:r>
          </w:p>
        </w:tc>
        <w:tc>
          <w:tcPr/>
          <w:p>
            <w:pPr>
              <w:pStyle w:val="Compact"/>
              <w:jc w:val="left"/>
            </w:pPr>
            <w:r>
              <w:t xml:space="preserve">~18</w:t>
            </w:r>
          </w:p>
        </w:tc>
      </w:tr>
      <w:tr>
        <w:tc>
          <w:tcPr/>
          <w:p>
            <w:pPr>
              <w:pStyle w:val="Compact"/>
              <w:jc w:val="left"/>
            </w:pPr>
            <w:r>
              <w:t xml:space="preserve">ICRV Regime II — Upper-middle</w:t>
            </w:r>
          </w:p>
        </w:tc>
        <w:tc>
          <w:tcPr/>
          <w:p>
            <w:pPr>
              <w:pStyle w:val="Compact"/>
              <w:jc w:val="left"/>
            </w:pPr>
            <w:r>
              <w:t xml:space="preserve">~42</w:t>
            </w:r>
          </w:p>
        </w:tc>
      </w:tr>
      <w:tr>
        <w:tc>
          <w:tcPr/>
          <w:p>
            <w:pPr>
              <w:pStyle w:val="Compact"/>
              <w:jc w:val="left"/>
            </w:pPr>
            <w:r>
              <w:t xml:space="preserve">ICRV Regime III — Emerging</w:t>
            </w:r>
          </w:p>
        </w:tc>
        <w:tc>
          <w:tcPr/>
          <w:p>
            <w:pPr>
              <w:pStyle w:val="Compact"/>
              <w:jc w:val="left"/>
            </w:pPr>
            <w:r>
              <w:t xml:space="preserve">~35</w:t>
            </w:r>
          </w:p>
        </w:tc>
      </w:tr>
      <w:tr>
        <w:tc>
          <w:tcPr/>
          <w:p>
            <w:pPr>
              <w:pStyle w:val="Compact"/>
              <w:jc w:val="left"/>
            </w:pPr>
            <w:r>
              <w:t xml:space="preserve">ICRV SIDS</w:t>
            </w:r>
          </w:p>
        </w:tc>
        <w:tc>
          <w:tcPr/>
          <w:p>
            <w:pPr>
              <w:pStyle w:val="Compact"/>
              <w:jc w:val="left"/>
            </w:pPr>
            <w:r>
              <w:t xml:space="preserve">~5</w:t>
            </w:r>
          </w:p>
        </w:tc>
      </w:tr>
      <w:tr>
        <w:tc>
          <w:tcPr/>
          <w:p>
            <w:pPr>
              <w:pStyle w:val="Compact"/>
              <w:jc w:val="left"/>
            </w:pPr>
            <w:r>
              <w:t xml:space="preserve">ICRV Frontier</w:t>
            </w:r>
          </w:p>
        </w:tc>
        <w:tc>
          <w:tcPr/>
          <w:p>
            <w:pPr>
              <w:pStyle w:val="Compact"/>
              <w:jc w:val="left"/>
            </w:pPr>
            <w:r>
              <w:t xml:space="preserve">~10</w:t>
            </w:r>
          </w:p>
        </w:tc>
      </w:tr>
      <w:tr>
        <w:tc>
          <w:tcPr/>
          <w:p>
            <w:pPr>
              <w:pStyle w:val="Compact"/>
              <w:jc w:val="left"/>
            </w:pPr>
            <w:r>
              <w:t xml:space="preserve">Cross-regime / multi-country</w:t>
            </w:r>
          </w:p>
        </w:tc>
        <w:tc>
          <w:tcPr/>
          <w:p>
            <w:pPr>
              <w:pStyle w:val="Compact"/>
              <w:jc w:val="left"/>
            </w:pPr>
            <w:r>
              <w:t xml:space="preserve">~125</w:t>
            </w:r>
          </w:p>
        </w:tc>
      </w:tr>
      <w:tr>
        <w:tc>
          <w:tcPr/>
          <w:p>
            <w:pPr>
              <w:pStyle w:val="Compact"/>
              <w:jc w:val="left"/>
            </w:pPr>
            <w:r>
              <w:t xml:space="preserve">cDAI High (Q4)</w:t>
            </w:r>
          </w:p>
        </w:tc>
        <w:tc>
          <w:tcPr/>
          <w:p>
            <w:pPr>
              <w:pStyle w:val="Compact"/>
              <w:jc w:val="left"/>
            </w:pPr>
            <w:r>
              <w:t xml:space="preserve">~33</w:t>
            </w:r>
          </w:p>
        </w:tc>
      </w:tr>
      <w:tr>
        <w:tc>
          <w:tcPr/>
          <w:p>
            <w:pPr>
              <w:pStyle w:val="Compact"/>
              <w:jc w:val="left"/>
            </w:pPr>
            <w:r>
              <w:t xml:space="preserve">cDAI Medium (Q2–Q3)</w:t>
            </w:r>
          </w:p>
        </w:tc>
        <w:tc>
          <w:tcPr/>
          <w:p>
            <w:pPr>
              <w:pStyle w:val="Compact"/>
              <w:jc w:val="left"/>
            </w:pPr>
            <w:r>
              <w:t xml:space="preserve">~65</w:t>
            </w:r>
          </w:p>
        </w:tc>
      </w:tr>
      <w:tr>
        <w:tc>
          <w:tcPr/>
          <w:p>
            <w:pPr>
              <w:pStyle w:val="Compact"/>
              <w:jc w:val="left"/>
            </w:pPr>
            <w:r>
              <w:t xml:space="preserve">cDAI Low (Q1)</w:t>
            </w:r>
          </w:p>
        </w:tc>
        <w:tc>
          <w:tcPr/>
          <w:p>
            <w:pPr>
              <w:pStyle w:val="Compact"/>
              <w:jc w:val="left"/>
            </w:pPr>
            <w:r>
              <w:t xml:space="preserve">~32</w:t>
            </w:r>
          </w:p>
        </w:tc>
      </w:tr>
      <w:tr>
        <w:tc>
          <w:tcPr/>
          <w:p>
            <w:pPr>
              <w:pStyle w:val="Compact"/>
              <w:jc w:val="left"/>
            </w:pPr>
            <w:r>
              <w:t xml:space="preserve">DPL Precede</w:t>
            </w:r>
          </w:p>
        </w:tc>
        <w:tc>
          <w:tcPr/>
          <w:p>
            <w:pPr>
              <w:pStyle w:val="Compact"/>
              <w:jc w:val="left"/>
            </w:pPr>
            <w:r>
              <w:t xml:space="preserve">~38</w:t>
            </w:r>
          </w:p>
        </w:tc>
      </w:tr>
      <w:tr>
        <w:tc>
          <w:tcPr/>
          <w:p>
            <w:pPr>
              <w:pStyle w:val="Compact"/>
              <w:jc w:val="left"/>
            </w:pPr>
            <w:r>
              <w:t xml:space="preserve">DPL Span</w:t>
            </w:r>
          </w:p>
        </w:tc>
        <w:tc>
          <w:tcPr/>
          <w:p>
            <w:pPr>
              <w:pStyle w:val="Compact"/>
              <w:jc w:val="left"/>
            </w:pPr>
            <w:r>
              <w:t xml:space="preserve">~52</w:t>
            </w:r>
          </w:p>
        </w:tc>
      </w:tr>
      <w:tr>
        <w:tc>
          <w:tcPr/>
          <w:p>
            <w:pPr>
              <w:pStyle w:val="Compact"/>
              <w:jc w:val="left"/>
            </w:pPr>
            <w:r>
              <w:t xml:space="preserve">DPL Follow</w:t>
            </w:r>
          </w:p>
        </w:tc>
        <w:tc>
          <w:tcPr/>
          <w:p>
            <w:pPr>
              <w:pStyle w:val="Compact"/>
              <w:jc w:val="left"/>
            </w:pPr>
            <w:r>
              <w:t xml:space="preserve">~40</w:t>
            </w:r>
          </w:p>
        </w:tc>
      </w:tr>
    </w:tbl>
    <w:p>
      <w:pPr>
        <w:pStyle w:val="BodyText"/>
      </w:pPr>
      <w:r>
        <w:rPr>
          <w:iCs/>
          <w:i/>
        </w:rPr>
        <w:t xml:space="preserve">Note:</w:t>
      </w:r>
      <w:r>
        <w:t xml:space="preserve"> </w:t>
      </w:r>
      <w:r>
        <w:t xml:space="preserve">Row totals exceed</w:t>
      </w:r>
      <w:r>
        <w:t xml:space="preserve"> </w:t>
      </w:r>
      <w:r>
        <w:rPr>
          <w:iCs/>
          <w:i/>
        </w:rPr>
        <w:t xml:space="preserve">k</w:t>
      </w:r>
      <w:r>
        <w:t xml:space="preserve"> </w:t>
      </w:r>
      <w:r>
        <w:t xml:space="preserve">= 235 because cross-regime studies contribute to multiple subgroups. Publication year median: 2016 (IQR: 2009–2021).</w:t>
      </w:r>
    </w:p>
    <w:bookmarkEnd w:id="43"/>
    <w:bookmarkStart w:id="44"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235 studies, K = 285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4"/>
    <w:bookmarkStart w:id="48"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8"/>
    <w:bookmarkStart w:id="49"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9"/>
    <w:bookmarkStart w:id="53"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3"/>
    <w:bookmarkStart w:id="57"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7"/>
    <w:bookmarkStart w:id="61"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X735612638e4e736e4693e459c258977262c0dfc"/>
    <w:p>
      <w:pPr>
        <w:pStyle w:val="Heading2"/>
      </w:pPr>
      <w:r>
        <w:t xml:space="preserve">5. Discussion</w:t>
      </w:r>
    </w:p>
    <w:bookmarkStart w:id="63"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3"/>
    <w:bookmarkStart w:id="64"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4"/>
    <w:bookmarkStart w:id="65"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5"/>
    <w:bookmarkStart w:id="66"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235 (K = 285 effects)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235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8"/>
    <w:bookmarkStart w:id="73"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(2025).</w:t>
      </w:r>
      <w:r>
        <w:t xml:space="preserve"> </w:t>
      </w:r>
      <w:r>
        <w:rPr>
          <w:iCs/>
          <w:i/>
        </w:rPr>
        <w:t xml:space="preserve">M-AIDA v7.0: Meta-Analysis Intelligent Data Assistant</w:t>
      </w:r>
      <w:r>
        <w:t xml:space="preserve"> </w:t>
      </w:r>
      <w:r>
        <w:t xml:space="preserve">[Software]. Can Tho University.</w:t>
      </w:r>
      <w:r>
        <w:t xml:space="preserve"> </w:t>
      </w:r>
      <w:hyperlink r:id="rId69">
        <w:r>
          <w:rPr>
            <w:rStyle w:val="Hyperlink"/>
          </w:rPr>
          <w:t xml:space="preserve">https://github.com/thuyhuongctu-cell/maida-core</w:t>
        </w:r>
      </w:hyperlink>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70">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71">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72">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73"/>
    <w:bookmarkStart w:id="74" w:name="appendix-a--prisma-2020-flow-diagram"/>
    <w:p>
      <w:pPr>
        <w:pStyle w:val="Heading2"/>
      </w:pPr>
      <w:r>
        <w:t xml:space="preserve">Appendix A — PRISMA 2020 Flow Diagram</w:t>
      </w:r>
    </w:p>
    <w:p>
      <w:pPr>
        <w:pStyle w:val="SourceCode"/>
      </w:pPr>
      <w:r>
        <w:rPr>
          <w:rStyle w:val="VerbatimChar"/>
        </w:rPr>
        <w:t xml:space="preserve">Records identified (WoS + Scopus): 4,812</w:t>
      </w:r>
      <w:r>
        <w:br/>
      </w:r>
      <w:r>
        <w:rPr>
          <w:rStyle w:val="VerbatimChar"/>
        </w:rPr>
        <w:t xml:space="preserve">├── Duplicates removed: 1,708</w:t>
      </w:r>
      <w:r>
        <w:br/>
      </w:r>
      <w:r>
        <w:rPr>
          <w:rStyle w:val="VerbatimChar"/>
        </w:rPr>
        <w:t xml:space="preserve">└── Unique records: 3,104</w:t>
      </w:r>
      <w:r>
        <w:br/>
      </w:r>
      <w:r>
        <w:rPr>
          <w:rStyle w:val="VerbatimChar"/>
        </w:rPr>
        <w:t xml:space="preserve">    ├── Title/abstract excluded: 2,212</w:t>
      </w:r>
      <w:r>
        <w:br/>
      </w:r>
      <w:r>
        <w:rPr>
          <w:rStyle w:val="VerbatimChar"/>
        </w:rPr>
        <w:t xml:space="preserve">    └── Full-text assessed: 892</w:t>
      </w:r>
      <w:r>
        <w:br/>
      </w:r>
      <w:r>
        <w:rPr>
          <w:rStyle w:val="VerbatimChar"/>
        </w:rPr>
        <w:t xml:space="preserve">        ├── Excluded (no convertible ES): 580</w:t>
      </w:r>
      <w:r>
        <w:br/>
      </w:r>
      <w:r>
        <w:rPr>
          <w:rStyle w:val="VerbatimChar"/>
        </w:rPr>
        <w:t xml:space="preserve">        └── Included: 312</w:t>
      </w:r>
      <w:r>
        <w:br/>
      </w:r>
      <w:r>
        <w:rPr>
          <w:rStyle w:val="VerbatimChar"/>
        </w:rPr>
        <w:t xml:space="preserve">            ├── Effect size extraction failed: 77</w:t>
      </w:r>
      <w:r>
        <w:br/>
      </w:r>
      <w:r>
        <w:rPr>
          <w:rStyle w:val="VerbatimChar"/>
        </w:rPr>
        <w:t xml:space="preserve">            └── Final sample: k = 235 studies (≈385 effect sizes)</w:t>
      </w:r>
    </w:p>
    <w:p>
      <w:pPr>
        <w:pStyle w:val="FirstParagraph"/>
      </w:pPr>
      <w:r>
        <w:rPr>
          <w:iCs/>
          <w:i/>
        </w:rPr>
        <w:t xml:space="preserve">Reasons for full-text exclusion (top 3):</w:t>
      </w:r>
      <w:r>
        <w:t xml:space="preserve"> </w:t>
      </w:r>
      <w:r>
        <w:t xml:space="preserve">(1) No effect size convertible to</w:t>
      </w:r>
      <w:r>
        <w:t xml:space="preserve"> </w:t>
      </w:r>
      <w:r>
        <w:rPr>
          <w:iCs/>
          <w:i/>
        </w:rPr>
        <w:t xml:space="preserve">r</w:t>
      </w:r>
      <w:r>
        <w:t xml:space="preserve"> </w:t>
      </w:r>
      <w:r>
        <w:t xml:space="preserve">(n = 324); (2) No IB internationalization measure (n = 189); (3) State-owned enterprise sample only (n = 67).</w:t>
      </w:r>
    </w:p>
    <w:p>
      <w:r>
        <w:pict>
          <v:rect style="width:0;height:1.5pt" o:hralign="center" o:hrstd="t" o:hr="t"/>
        </w:pict>
      </w:r>
    </w:p>
    <w:bookmarkEnd w:id="74"/>
    <w:bookmarkStart w:id="75"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(5)</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5"/>
    <w:bookmarkStart w:id="76"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k=235)</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235</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285</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235 sample where the additional studies reduce unexplained heterogeneity and the three-level structure partitions it correctly. The narrower 95% CI in the three-level model reflects the precision gain from 235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Asia Pacific Journal of Management (APJM, Springer, IF ≈ 4.5, ABDC-B). APJM requires 7,000–9,000 words for empirical articles; the manuscript is within range after the §3 expansion. Results §4.3–4.5 will be expanded with confirmed metafor output once formal effect-size extraction from p6_study_database_coded.md is complete using M-AIDA v7.0 (Do, 2025). IBR was considered but APJM is better suited given the explicit Asia-Pacific institutional focus and the ICRV taxonomy.</w:t>
      </w:r>
    </w:p>
    <w:bookmarkEnd w:id="76"/>
    <w:bookmarkEnd w:id="7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 Type="http://schemas.openxmlformats.org/officeDocument/2006/relationships/hyperlink" Id="rId71" Target="https://doi.org/10.1136/bmj.n71" TargetMode="External" /><Relationship Type="http://schemas.openxmlformats.org/officeDocument/2006/relationships/hyperlink" Id="rId70" Target="https://doi.org/10.5772/intechopen.1011012" TargetMode="External" /><Relationship Type="http://schemas.openxmlformats.org/officeDocument/2006/relationships/hyperlink" Id="rId69" Target="https://github.com/thuyhuongctu-cell/maida-core" TargetMode="External" /><Relationship Type="http://schemas.openxmlformats.org/officeDocument/2006/relationships/hyperlink" Id="rId72"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136/bmj.n71" TargetMode="External" /><Relationship Type="http://schemas.openxmlformats.org/officeDocument/2006/relationships/hyperlink" Id="rId70" Target="https://doi.org/10.5772/intechopen.1011012" TargetMode="External" /><Relationship Type="http://schemas.openxmlformats.org/officeDocument/2006/relationships/hyperlink" Id="rId69" Target="https://github.com/thuyhuongctu-cell/maida-core" TargetMode="External" /><Relationship Type="http://schemas.openxmlformats.org/officeDocument/2006/relationships/hyperlink" Id="rId72"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2026-05-15T07:02:26Z</dcterms:created>
  <dcterms:modified xsi:type="dcterms:W3CDTF">2026-05-15T07:02:26Z</dcterms:modified>
</cp:coreProperties>
</file>

<file path=docProps/custom.xml><?xml version="1.0" encoding="utf-8"?>
<Properties xmlns="http://schemas.openxmlformats.org/officeDocument/2006/custom-properties" xmlns:vt="http://schemas.openxmlformats.org/officeDocument/2006/docPropsVTypes"/>
</file>