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8.png" ContentType="image/png"/>
  <Override PartName="/word/media/rId5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0c6e4d0da10b64d0e26e4f46cdf4d61de6495dd"/>
    <w:p>
      <w:pPr>
        <w:pStyle w:val="Heading1"/>
      </w:pPr>
      <w:r>
        <w:t xml:space="preserve">Does Country Context Shape the Internationalization–Performance Link? A Three-Level Meta-Analytic Investigation of Digital Adoption, Institutional Regimes, and the Digital Paradox Lifecycle</w:t>
      </w:r>
    </w:p>
    <w:p>
      <w:pPr>
        <w:pStyle w:val="FirstParagraph"/>
      </w:pPr>
      <w:r>
        <w:rPr>
          <w:bCs/>
          <w:b/>
        </w:rPr>
        <w:t xml:space="preserve">Đỗ Thị Thúy Hương</w:t>
      </w:r>
      <w:r>
        <w:t xml:space="preserve"> </w:t>
      </w:r>
      <w:r>
        <w:t xml:space="preserve">· Can Tho University / Huong Do Thi Thuy</w:t>
      </w:r>
      <w:r>
        <w:t xml:space="preserve"> </w:t>
      </w:r>
      <w:r>
        <w:rPr>
          <w:bCs/>
          <w:b/>
        </w:rPr>
        <w:t xml:space="preserve">Phan Anh Tú</w:t>
      </w:r>
      <w:r>
        <w:t xml:space="preserve"> </w:t>
      </w:r>
      <w:r>
        <w:t xml:space="preserve">· Can Tho University</w:t>
      </w:r>
    </w:p>
    <w:p>
      <w:pPr>
        <w:pStyle w:val="BodyText"/>
      </w:pPr>
      <w:r>
        <w:rPr>
          <w:iCs/>
          <w:i/>
        </w:rPr>
        <w:t xml:space="preserve">Manuscript prepared for: International Business Review (IBR, Elsevier, IF ≈ 5.5, ABS-3)</w:t>
      </w:r>
      <w:r>
        <w:t xml:space="preserve"> </w:t>
      </w:r>
      <w:r>
        <w:rPr>
          <w:iCs/>
          <w:i/>
        </w:rPr>
        <w:t xml:space="preserve">Version 1.0 —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 (MARA) to test three theoretically motivated moderators — country-level digital adoption (cDAI), institutional context regime (ICRV), and Digital Paradox Lifecycle (DPL) phase — that prior meta-analyses of the internationalization–performance (I→P) relationship have not examined.</w:t>
      </w:r>
      <w:r>
        <w:t xml:space="preserve"> </w:t>
      </w:r>
      <w:r>
        <w:rPr>
          <w:bCs/>
          <w:b/>
        </w:rPr>
        <w:t xml:space="preserve">Design/methodology/approach:</w:t>
      </w:r>
      <w:r>
        <w:t xml:space="preserve"> </w:t>
      </w:r>
      <w:r>
        <w:t xml:space="preserve">A systematic search following PRISMA 2020 protocols on Web of Science and Scopus (1977–2026) identifies</w:t>
      </w:r>
      <w:r>
        <w:t xml:space="preserve"> </w:t>
      </w:r>
      <w:r>
        <w:rPr>
          <w:iCs/>
          <w:i/>
        </w:rPr>
        <w:t xml:space="preserve">k</w:t>
      </w:r>
      <w:r>
        <w:t xml:space="preserve"> </w:t>
      </w:r>
      <w:r>
        <w:t xml:space="preserve">= 235 studies with approximately 385 effect sizes. Three-level MARA (Cheung, 2014; Van den Noortgate et al., 2013) decomposes heterogeneity into within-study (</w:t>
      </w:r>
      <w:r>
        <w:rPr>
          <w:iCs/>
          <w:i/>
        </w:rPr>
        <w:t xml:space="preserve">Level 2</w:t>
      </w:r>
      <w:r>
        <w:t xml:space="preserve">) and between-study (</w:t>
      </w:r>
      <w:r>
        <w:rPr>
          <w:iCs/>
          <w:i/>
        </w:rPr>
        <w:t xml:space="preserve">Level 3</w:t>
      </w:r>
      <w:r>
        <w:t xml:space="preserve">) components using</w:t>
      </w:r>
      <w:r>
        <w:t xml:space="preserve"> </w:t>
      </w:r>
      <w:r>
        <w:rPr>
          <w:rStyle w:val="VerbatimChar"/>
        </w:rPr>
        <w:t xml:space="preserve">metafor</w:t>
      </w:r>
      <w:r>
        <w:t xml:space="preserve"> </w:t>
      </w:r>
      <w:r>
        <w:t xml:space="preserve">in R. Pre-registration on OSF precedes effect-size extraction; inter-coder reliability κ ≥ 0.70 on 20% 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0.075 (95% CI [0.061, 0.089],</w:t>
      </w:r>
      <w:r>
        <w:t xml:space="preserve"> </w:t>
      </w:r>
      <w:r>
        <w:rPr>
          <w:iCs/>
          <w:i/>
        </w:rPr>
        <w:t xml:space="preserve">p</w:t>
      </w:r>
      <w:r>
        <w:t xml:space="preserve"> </w:t>
      </w:r>
      <w:r>
        <w:t xml:space="preserve">&lt; .001) with</w:t>
      </w:r>
      <w:r>
        <w:t xml:space="preserve"> </w:t>
      </w:r>
      <w:r>
        <w:rPr>
          <w:iCs/>
          <w:i/>
        </w:rPr>
        <w:t xml:space="preserve">I</w:t>
      </w:r>
      <w:r>
        <w:t xml:space="preserve">² = 62.5% (Level 2 within-study: 54.1%; Level 3 between-study: 8.4%). Three-level decomposition confirms substantial systematic heterogeneity beyond sampling error, with within-study variance (multiple specifications per paper) as the dominant component; between-study variance captures country-level differences that the three moderators are designed to explain. ICRV regime moderation is significant (</w:t>
      </w:r>
      <w:r>
        <w:rPr>
          <w:iCs/>
          <w:i/>
        </w:rPr>
        <w:t xml:space="preserve">Q</w:t>
      </w:r>
      <w:r>
        <w:t xml:space="preserve">_M = 127.77,</w:t>
      </w:r>
      <w:r>
        <w:t xml:space="preserve"> </w:t>
      </w:r>
      <w:r>
        <w:rPr>
          <w:iCs/>
          <w:i/>
        </w:rPr>
        <w:t xml:space="preserve">df</w:t>
      </w:r>
      <w:r>
        <w:t xml:space="preserve"> </w:t>
      </w:r>
      <w:r>
        <w:t xml:space="preserve">= 4,</w:t>
      </w:r>
      <w:r>
        <w:t xml:space="preserve"> </w:t>
      </w:r>
      <w:r>
        <w:rPr>
          <w:iCs/>
          <w:i/>
        </w:rPr>
        <w:t xml:space="preserve">p</w:t>
      </w:r>
      <w:r>
        <w:t xml:space="preserve"> </w:t>
      </w:r>
      <w:r>
        <w:t xml:space="preserve">&lt; .001), with a clear gradient from Advanced-Innovation contexts (</w:t>
      </w:r>
      <w:r>
        <w:rPr>
          <w:iCs/>
          <w:i/>
        </w:rPr>
        <w:t xml:space="preserve">r̄</w:t>
      </w:r>
      <w:r>
        <w:t xml:space="preserve"> </w:t>
      </w:r>
      <w:r>
        <w:t xml:space="preserve">= 0.21) to Frontier contexts (</w:t>
      </w:r>
      <w:r>
        <w:rPr>
          <w:iCs/>
          <w:i/>
        </w:rPr>
        <w:t xml:space="preserve">r̄</w:t>
      </w:r>
      <w:r>
        <w:t xml:space="preserve"> </w:t>
      </w:r>
      <w:r>
        <w:t xml:space="preserve">= −0.02). cDAI amplifies the I→P effect positively (β = +0.089,</w:t>
      </w:r>
      <w:r>
        <w:t xml:space="preserve"> </w:t>
      </w:r>
      <w:r>
        <w:rPr>
          <w:iCs/>
          <w:i/>
        </w:rPr>
        <w:t xml:space="preserve">p</w:t>
      </w:r>
      <w:r>
        <w:t xml:space="preserve"> </w:t>
      </w:r>
      <w:r>
        <w:t xml:space="preserve">= .024), concentrated in the DPL Follow phase (post-2014). DPL phasing itself shows significant temporal moderation (</w:t>
      </w:r>
      <w:r>
        <w:rPr>
          <w:iCs/>
          <w:i/>
        </w:rPr>
        <w:t xml:space="preserve">Q</w:t>
      </w:r>
      <w:r>
        <w:t xml:space="preserve">_DPL = 104.92,</w:t>
      </w:r>
      <w:r>
        <w:t xml:space="preserve"> </w:t>
      </w:r>
      <w:r>
        <w:rPr>
          <w:iCs/>
          <w:i/>
        </w:rPr>
        <w:t xml:space="preserve">df</w:t>
      </w:r>
      <w:r>
        <w:t xml:space="preserve"> </w:t>
      </w:r>
      <w:r>
        <w:t xml:space="preserve">= 2,</w:t>
      </w:r>
      <w:r>
        <w:t xml:space="preserve"> </w:t>
      </w:r>
      <w:r>
        <w:rPr>
          <w:iCs/>
          <w:i/>
        </w:rPr>
        <w:t xml:space="preserve">p</w:t>
      </w:r>
      <w:r>
        <w:t xml:space="preserve"> </w:t>
      </w:r>
      <w:r>
        <w:t xml:space="preserve">&lt; .001): Follow &gt; Span &gt; Precede.</w:t>
      </w:r>
      <w:r>
        <w:t xml:space="preserve"> </w:t>
      </w:r>
      <w:r>
        <w:rPr>
          <w:bCs/>
          <w:b/>
        </w:rPr>
        <w:t xml:space="preserve">Originality/value:</w:t>
      </w:r>
      <w:r>
        <w:t xml:space="preserve"> </w:t>
      </w:r>
      <w:r>
        <w:t xml:space="preserve">This is the first three-level MARA of I→P, the first to apply an ICRV 5-regime taxonomy to the Asia-Pacific literature, and the first to test DPL phase as a temporal moderator. Results confirm that digital capability is a</w:t>
      </w:r>
      <w:r>
        <w:t xml:space="preserve"> </w:t>
      </w:r>
      <w:r>
        <w:rPr>
          <w:iCs/>
          <w:i/>
        </w:rPr>
        <w:t xml:space="preserve">conditional scaling resource</w:t>
      </w:r>
      <w:r>
        <w:t xml:space="preserve"> </w:t>
      </w:r>
      <w:r>
        <w:t xml:space="preserve">— not a universal performance premium — whose amplification depends on the institutional quality of the host environment.</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Asia-Pacific</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Cross-border firm expansion has become one of the defining strategic imperatives of the modern economy. The past three decades have witnessed dramatic growth in outward foreign direct investment, export-oriented production, and global value chain participation, transforming internationalization from a strategy available primarily to large multinationals into a competitive consideration for firms across size classes and geographies (Dunning, 2000; Johanson &amp; Vahlne, 2009; Kafouros et al., 2012). Against this backdrop, the question of whether internationalization improves firm performance is not merely academic — it shapes investment decisions, government export promotion policy, and the strategic priorities of firms navigating an increasingly interconnected global economy (Hitt et al., 2006; Lu &amp; Beamish, 2004). For scholars, however, the record remains stubbornly inconclusive.</w:t>
      </w:r>
    </w:p>
    <w:p>
      <w:pPr>
        <w:pStyle w:val="BodyText"/>
      </w:pPr>
      <w:r>
        <w:t xml:space="preserve">The relationship between a firm's degree of internationalization and its performance (the "I→P relationship")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w:r>
        <w:rPr>
          <w:iCs/>
          <w:i/>
        </w:rPr>
        <w:t xml:space="preserve">I</w:t>
      </w:r>
      <w:r>
        <w:t xml:space="preserve">² regularly exceeds 80%, signaling that context — not a universal mechanism —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 baseline identified that conventional moderators — country of origin, industry, performance measure type — leave approximately 70% of variance unexplained. Three theoretically grounded moderators, absent from all prior meta-analyses, motivate the present extension:</w:t>
      </w:r>
    </w:p>
    <w:p>
      <w:pPr>
        <w:pStyle w:val="BodyText"/>
      </w:pPr>
      <w:r>
        <w:rPr>
          <w:bCs/>
          <w:b/>
        </w:rPr>
        <w:t xml:space="preserve">Gap 1 —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 ICRV 5-regime.</w:t>
      </w:r>
      <w:r>
        <w:t xml:space="preserve"> </w:t>
      </w:r>
      <w:r>
        <w:t xml:space="preserve">Marano et al. (2016) established that home-country institutions moderate I→P, but applied a coarse six-group global taxonomy. The Asia-Pacific region spans the widest institutional spectrum globally — from Singapore (World Governance Indicators Rule of Law score +1.84) to frontier economies (WGI &lt; −0.50; World Bank, 2023). An ICRV 5-regime classification tailored to this heterogeneity has not been tested meta-analytically.</w:t>
      </w:r>
    </w:p>
    <w:p>
      <w:pPr>
        <w:pStyle w:val="BodyText"/>
      </w:pPr>
      <w:r>
        <w:rPr>
          <w:bCs/>
          <w:b/>
        </w:rPr>
        <w:t xml:space="preserve">Gap 3 — DPL phase.</w:t>
      </w:r>
      <w:r>
        <w:t xml:space="preserve"> </w:t>
      </w:r>
      <w:r>
        <w:t xml:space="preserve">Brynjolfsson et al. (2021) identified 2009 as a productivity inflection point in the digital era (the "dynamo analogy" 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235,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ICRV 5-regime provides the first institution-theoretic contingency framework tested meta-analytically for Asia-Pacific I→P; (5) cDAI shows that national digital infrastructure moderates aggregate I→P more strongly in the post-2014 DPL Follow phase; (6) DPL phase confirms a productivity-accumulation J-curve in the digitized internationalization literature.</w:t>
      </w:r>
    </w:p>
    <w:p>
      <w:pPr>
        <w:pStyle w:val="BodyText"/>
      </w:pPr>
      <w:r>
        <w:rPr>
          <w:bCs/>
          <w:b/>
        </w:rPr>
        <w:t xml:space="preserve">Key findings preview.</w:t>
      </w:r>
      <w:r>
        <w:t xml:space="preserve"> </w:t>
      </w:r>
      <w:r>
        <w:t xml:space="preserve">Among the principal results, the ICRV regime gradient emerges as the largest source of explained heterogeneity: Advanced-Innovation contexts (e.g., Singapore, Regime I) yield</w:t>
      </w:r>
      <w:r>
        <w:t xml:space="preserve"> </w:t>
      </w:r>
      <w:r>
        <w:rPr>
          <w:iCs/>
          <w:i/>
        </w:rPr>
        <w:t xml:space="preserve">r̄</w:t>
      </w:r>
      <w:r>
        <w:t xml:space="preserve"> </w:t>
      </w:r>
      <w:r>
        <w:t xml:space="preserve">= 0.21 — approximately threefold the pooled baseline — compared to Frontier contexts (</w:t>
      </w:r>
      <w:r>
        <w:rPr>
          <w:iCs/>
          <w:i/>
        </w:rPr>
        <w:t xml:space="preserve">r̄</w:t>
      </w:r>
      <w:r>
        <w:t xml:space="preserve"> </w:t>
      </w:r>
      <w:r>
        <w:t xml:space="preserve">= −0.02), collapsing what appears as a small-positive average effect into a spectrum ranging from meaningfully positive to effectively null. cDAI adds explanatory power concentrated in the DPL Follow phase (post-2014), where national digital infrastructure maturity amplifies I→P by β = +0.089 (</w:t>
      </w:r>
      <w:r>
        <w:rPr>
          <w:iCs/>
          <w:i/>
        </w:rPr>
        <w:t xml:space="preserve">p</w:t>
      </w:r>
      <w:r>
        <w:t xml:space="preserve"> </w:t>
      </w:r>
      <w:r>
        <w:t xml:space="preserve">= .024) per standardized unit of country adoption. DPL phase itself shows significant temporal moderation (</w:t>
      </w:r>
      <w:r>
        <w:rPr>
          <w:iCs/>
          <w:i/>
        </w:rPr>
        <w:t xml:space="preserve">Q</w:t>
      </w:r>
      <w:r>
        <w:t xml:space="preserve"> </w:t>
      </w:r>
      <w:r>
        <w:t xml:space="preserve">= 104.92,</w:t>
      </w:r>
      <w:r>
        <w:t xml:space="preserve"> </w:t>
      </w:r>
      <w:r>
        <w:rPr>
          <w:iCs/>
          <w:i/>
        </w:rPr>
        <w:t xml:space="preserve">p</w:t>
      </w:r>
      <w:r>
        <w:t xml:space="preserve"> </w:t>
      </w:r>
      <w:r>
        <w:t xml:space="preserve">&lt; .001), confirming that the post-2014 cohort of studies reports systematically larger effects than earlier decades. Taken together, these three moderators reframe the I→P puzzle: the question is not whether internationalization improves performance on average — it does — but</w:t>
      </w:r>
      <w:r>
        <w:t xml:space="preserve"> </w:t>
      </w:r>
      <w:r>
        <w:rPr>
          <w:iCs/>
          <w:i/>
        </w:rPr>
        <w:t xml:space="preserve">under what institutional and digital conditions</w:t>
      </w:r>
      <w:r>
        <w:t xml:space="preserve"> </w:t>
      </w:r>
      <w:r>
        <w:t xml:space="preserve">it does so, and at what intensity.</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31"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 including human capital, technological capability, and digital infrastructure access — will generate higher performance returns from international expansion than resource-constrained peers. Wernerfelt's (1984) resource bundling logic further predicts that digital tools</w:t>
      </w:r>
      <w:r>
        <w:t xml:space="preserve"> </w:t>
      </w:r>
      <w:r>
        <w:rPr>
          <w:iCs/>
          <w:i/>
        </w:rPr>
        <w:t xml:space="preserve">compound</w:t>
      </w:r>
      <w:r>
        <w:t xml:space="preserve"> </w:t>
      </w:r>
      <w:r>
        <w:t xml:space="preserve">existing resource advantages: in high-cDAI environments, the combination of digital infrastructure and firm-level technological capability generates synergistic productivity returns that exceed what either component could produce in isolation. This resource-bundling prediction is the micro-foundation for the cDAI amplification hypothesis (H3): national digital infrastructure is not merely a background condition but an active complement to firm-level resources that raises the marginal return to each additional unit of international expansion.</w:t>
      </w:r>
    </w:p>
    <w:p>
      <w:pPr>
        <w:pStyle w:val="BodyText"/>
      </w:pPr>
      <w:r>
        <w:rPr>
          <w:bCs/>
          <w:b/>
        </w:rPr>
        <w:t xml:space="preserve">Institutional Theory.</w:t>
      </w:r>
      <w:r>
        <w:t xml:space="preserve"> </w:t>
      </w:r>
      <w:r>
        <w:t xml:space="preserve">North's (1990) framework positions formal and informal institutions as the "rules of the game" that govern transaction costs. In the I→P context, higher institutional quality — measured through rule of law, contract enforcement, IP protection, and regulatory quality —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w:t>
      </w:r>
      <w:r>
        <w:t xml:space="preserve">— real-time digital communication across time zones reduces the bandwidth cost of coordinating dispersed operations; (b)</w:t>
      </w:r>
      <w:r>
        <w:t xml:space="preserve"> </w:t>
      </w:r>
      <w:r>
        <w:rPr>
          <w:iCs/>
          <w:i/>
        </w:rPr>
        <w:t xml:space="preserve">transaction cost reduction</w:t>
      </w:r>
      <w:r>
        <w:t xml:space="preserve"> </w:t>
      </w:r>
      <w:r>
        <w:t xml:space="preserve">— electronic payment systems and digital contracting reduce the cost and time of cross-border transactions; (c)</w:t>
      </w:r>
      <w:r>
        <w:t xml:space="preserve"> </w:t>
      </w:r>
      <w:r>
        <w:rPr>
          <w:iCs/>
          <w:i/>
        </w:rPr>
        <w:t xml:space="preserve">information asymmetry compression</w:t>
      </w:r>
      <w:r>
        <w:t xml:space="preserve"> </w:t>
      </w:r>
      <w:r>
        <w:t xml:space="preserve">— digital analytics platforms reduce the monitoring cost of verifying foreign partner performance. When national digital infrastructure is mature (high cDAI), all three channels operate simultaneously, predicting that the coordination cost mechanism — which generates the right-side decline of the inverted-U —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 the layers most widely measured in firm-level surveys —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 a between-study moderation claim, not a within-study mediation claim.</w:t>
      </w:r>
    </w:p>
    <w:bookmarkEnd w:id="22"/>
    <w:bookmarkStart w:id="23" w:name="Xf46903875c495d01a9c34f9a7eebd862b9d6417"/>
    <w:p>
      <w:pPr>
        <w:pStyle w:val="Heading3"/>
      </w:pPr>
      <w:r>
        <w:t xml:space="preserve">2.2 Capability–Institution Mismatch Theory (New —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 the costs incurred by foreign firms that domestic rivals do not bear —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 environments where formal institutions are weak or absent —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 III → SIDS/V), these substitute governance costs accumulate, progressively depressing the I→P effect toward zero and potentially negative territory.</w:t>
      </w:r>
    </w:p>
    <w:p>
      <w:pPr>
        <w:pStyle w:val="BodyText"/>
      </w:pPr>
      <w:r>
        <w:t xml:space="preserve">CIMT predicts a clear monotonic gradient across the five ICRV regimes, which prior meta-analyses have not tested because they lacked an Asia-Pacific-specific taxonomy that disaggregates the institutional spectrum at sufficient resolution. Marano et al. (2016) used a six-category global classification that grouped Asia-Pacific economies in ways that obscured the Advanced/Emerging/Frontier gradient most relevant to the region. The ICRV 5-regime taxonomy — anchored in World Bank World Governance Indicators (Rule of Law dimension, 2023 vintage) and calibrated to the Asia-Pacific institutional spectrum — provides the first classification capable of testing the CIMT gradient meta-analytically.</w:t>
      </w:r>
    </w:p>
    <w:p>
      <w:pPr>
        <w:pStyle w:val="BodyText"/>
      </w:pPr>
      <w:r>
        <w:rPr>
          <w:bCs/>
          <w:b/>
        </w:rPr>
        <w:t xml:space="preserve">Hypothesis 1 (H1 — ICRV gradient):</w:t>
      </w:r>
      <w:r>
        <w:t xml:space="preserve"> </w:t>
      </w:r>
      <w:r>
        <w:t xml:space="preserve">When firms operate in higher-quality institutional environments (ICRV Regime I → V), the pooled I→P effect is expected to decrease monotonically, because formal institutions — contract enforcement, IP protection, and reduced liability of foreignness — amplify the productivity returns to each unit of international expansion through rent protection, LOF attenuation, and void-cost reduction (Khanna &amp; Palepu, 2010; North, 1990; Zaheer, 1995). This gradient is bounded by the assumption that institutional quality varies systematically across regimes rather than within them; studies spanning multiple regimes are therefore coded to the modal regime.</w:t>
      </w:r>
      <w:r>
        <w:t xml:space="preserve"> </w:t>
      </w:r>
      <w:r>
        <w:rPr>
          <w:iCs/>
          <w:i/>
        </w:rPr>
        <w:t xml:space="preserve">Q</w:t>
      </w:r>
      <w:r>
        <w:t xml:space="preserve">_M(ICRV) is expected to be statistically significant (</w:t>
      </w:r>
      <w:r>
        <w:rPr>
          <w:iCs/>
          <w:i/>
        </w:rPr>
        <w:t xml:space="preserve">p</w:t>
      </w:r>
      <w:r>
        <w:t xml:space="preserve"> </w:t>
      </w:r>
      <w:r>
        <w:t xml:space="preserve">&lt; .05).</w:t>
      </w:r>
    </w:p>
    <w:p>
      <w:pPr>
        <w:pStyle w:val="BodyText"/>
      </w:pPr>
      <w:r>
        <w:rPr>
          <w:bCs/>
          <w:b/>
        </w:rPr>
        <w:t xml:space="preserve">Hypothesis 1a:</w:t>
      </w:r>
      <w:r>
        <w:t xml:space="preserve"> </w:t>
      </w:r>
      <w:r>
        <w:t xml:space="preserve">Firms from Advanced-Innovation environments (ICRV-I: Singapore, Hong Kong, South Korea, Japan, Australia) show the largest pooled I→P effect (</w:t>
      </w:r>
      <w:r>
        <w:rPr>
          <w:iCs/>
          <w:i/>
        </w:rPr>
        <w:t xml:space="preserve">r̄</w:t>
      </w:r>
      <w:r>
        <w:t xml:space="preserve"> </w:t>
      </w:r>
      <w:r>
        <w:t xml:space="preserve">&gt; 0.15), reflecting simultaneous operation of all three CIMT mechanisms (rent protection, low LOF, negligible institutional voids).</w:t>
      </w:r>
    </w:p>
    <w:p>
      <w:pPr>
        <w:pStyle w:val="BodyText"/>
      </w:pPr>
      <w:r>
        <w:rPr>
          <w:bCs/>
          <w:b/>
        </w:rPr>
        <w:t xml:space="preserve">Hypothesis 1b:</w:t>
      </w:r>
      <w:r>
        <w:t xml:space="preserve"> </w:t>
      </w:r>
      <w:r>
        <w:t xml:space="preserve">Firms from Frontier and SIDS environments show I→P effects near zero or negative (</w:t>
      </w:r>
      <w:r>
        <w:rPr>
          <w:iCs/>
          <w:i/>
        </w:rPr>
        <w:t xml:space="preserve">r̄</w:t>
      </w:r>
      <w:r>
        <w:t xml:space="preserve"> </w:t>
      </w:r>
      <w:r>
        <w:t xml:space="preserve">&lt; 0.05), reflecting the dominance of institutional void amplification over scale and learning returns at the export intensities observed in these contexts.</w:t>
      </w:r>
    </w:p>
    <w:bookmarkEnd w:id="23"/>
    <w:bookmarkStart w:id="24" w:name="X0dd87f08f631afe120b28830786267d6834423c"/>
    <w:p>
      <w:pPr>
        <w:pStyle w:val="Heading3"/>
      </w:pPr>
      <w:r>
        <w:t xml:space="preserve">2.3 Digital Paradox Lifecycle (DPL —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 in organizational practices, worker skills, and infrastructure —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p>
    <w:p>
      <w:pPr>
        <w:numPr>
          <w:ilvl w:val="0"/>
          <w:numId w:val="1001"/>
        </w:numPr>
        <w:pStyle w:val="Compact"/>
      </w:pP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p>
    <w:p>
      <w:pPr>
        <w:numPr>
          <w:ilvl w:val="0"/>
          <w:numId w:val="1001"/>
        </w:numPr>
        <w:pStyle w:val="Compact"/>
      </w:pP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 platforms — including cloud-based logistics, B2B e-commerce, electronic payment systems, and digital trade finance —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FirstParagraph"/>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inflection for the Asia-Pacific digital adoption landscape rather than an arbitrary choice.</w:t>
      </w:r>
    </w:p>
    <w:p>
      <w:pPr>
        <w:pStyle w:val="BodyText"/>
      </w:pPr>
      <w:r>
        <w:rPr>
          <w:bCs/>
          <w:b/>
        </w:rPr>
        <w:t xml:space="preserve">Hypothesis 2 (H2 — DPL phase):</w:t>
      </w:r>
      <w:r>
        <w:t xml:space="preserve"> </w:t>
      </w:r>
      <w:r>
        <w:t xml:space="preserve">In the DPL Follow phase (predominantly post-2014), pooled I→P effects are expected to be largest, because digital platforms reach the maturity threshold at which coordination-cost compression outweighs the complementary-asset adjustment costs documented by Brynjolfsson et al. (2021) and David (1990). This ordering is bounded by the classification rule that studies must be assignable to a dominant data period; studies spanning multiple phases are coded as Span. Formally:</w:t>
      </w:r>
      <w:r>
        <w:t xml:space="preserve"> </w:t>
      </w:r>
      <w:r>
        <w:rPr>
          <w:iCs/>
          <w:i/>
        </w:rPr>
        <w:t xml:space="preserve">r̄</w:t>
      </w:r>
      <w:r>
        <w:t xml:space="preserve">(Follow) &gt;</w:t>
      </w:r>
      <w:r>
        <w:t xml:space="preserve"> </w:t>
      </w:r>
      <w:r>
        <w:rPr>
          <w:iCs/>
          <w:i/>
        </w:rPr>
        <w:t xml:space="preserve">r̄</w:t>
      </w:r>
      <w:r>
        <w:t xml:space="preserve">(Span) &gt;</w:t>
      </w:r>
      <w:r>
        <w:t xml:space="preserve"> </w:t>
      </w:r>
      <w:r>
        <w:rPr>
          <w:iCs/>
          <w:i/>
        </w:rPr>
        <w:t xml:space="preserve">r̄</w:t>
      </w:r>
      <w:r>
        <w:t xml:space="preserve">(Precede), with</w:t>
      </w:r>
      <w:r>
        <w:t xml:space="preserve"> </w:t>
      </w:r>
      <w:r>
        <w:rPr>
          <w:iCs/>
          <w:i/>
        </w:rPr>
        <w:t xml:space="preserve">Q</w:t>
      </w:r>
      <w:r>
        <w:t xml:space="preserve">_DPL significant (</w:t>
      </w:r>
      <w:r>
        <w:rPr>
          <w:iCs/>
          <w:i/>
        </w:rPr>
        <w:t xml:space="preserve">p</w:t>
      </w:r>
      <w:r>
        <w:t xml:space="preserve"> </w:t>
      </w:r>
      <w:r>
        <w:t xml:space="preserve">&lt; .05).</w:t>
      </w:r>
    </w:p>
    <w:bookmarkEnd w:id="24"/>
    <w:bookmarkStart w:id="25" w:name="Xb1c138680495182103a8a51fe62639318953aef"/>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 cDAI amplification):</w:t>
      </w:r>
      <w:r>
        <w:t xml:space="preserve"> </w:t>
      </w:r>
      <w:r>
        <w:t xml:space="preserve">When national digital adoption (cDAI) is higher, the pooled I→P effect is expected to be larger (β_cDAI &gt; 0,</w:t>
      </w:r>
      <w:r>
        <w:t xml:space="preserve"> </w:t>
      </w:r>
      <w:r>
        <w:rPr>
          <w:iCs/>
          <w:i/>
        </w:rPr>
        <w:t xml:space="preserve">p</w:t>
      </w:r>
      <w:r>
        <w:t xml:space="preserve"> </w:t>
      </w:r>
      <w:r>
        <w:t xml:space="preserve">&lt; .05), because mature national digital infrastructure reduces coordination costs for internationalizing firms through the coordination platform effect (Stallkamp &amp; Schotter, 2021). This amplification is bounded by DPL phase: the cDAI × DPL Follow interaction is expected to be significant and positive, while the cDAI effect in the Precede phase is expected to be near zero or non-significant, reflecting the temporal threshold below which digital infrastructure does not yet constitute a mature coordination platform.</w:t>
      </w:r>
    </w:p>
    <w:bookmarkEnd w:id="25"/>
    <w:bookmarkStart w:id="26" w:name="Xf3e5d346ebc5a17228cb32efda8c89f8560d468"/>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 Publication bias):</w:t>
      </w:r>
      <w:r>
        <w:t xml:space="preserve"> </w:t>
      </w:r>
      <w:r>
        <w:t xml:space="preserve">Significant funnel-plot asymmetry and trim-and-fill adjustment are expected, because selective reporting of positive I→P findings is well-documented in the literature; however, these are not expected to be severe enough to reverse the sign of the pooled effect. The boundary condition is that fail-safe N must be implausibly large (&gt; 2,000 studies) for the positive pooled effect to be attributed to bias alone (Orwin, 1983). Formally: Egger's regression intercept, trim-and-fill adjusted effect, and fail-safe N are not consistent with severe selective reporting (non-directional, inferential null: publication bias does not reverse the sign of the pooled effect).</w:t>
      </w:r>
    </w:p>
    <w:bookmarkEnd w:id="26"/>
    <w:bookmarkStart w:id="30" w:name="X9f459728ae2c4e39aee69d49761868d88bce138"/>
    <w:p>
      <w:pPr>
        <w:pStyle w:val="Heading3"/>
      </w:pPr>
      <w:r>
        <w:t xml:space="preserve">2.6 Conceptual Model</w:t>
      </w:r>
    </w:p>
    <w:p>
      <w:pPr>
        <w:pStyle w:val="FirstParagraph"/>
      </w:pPr>
      <w:r>
        <w:drawing>
          <wp:inline>
            <wp:extent cx="5753100" cy="3710006"/>
            <wp:effectExtent b="0" l="0" r="0" t="0"/>
            <wp:docPr descr="Figure 1: Conceptual model —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235, K = 285 effects, r̄ = 0.075, 95% CI [0.061, 0.089]). Dashed arrows represent hypothesised moderating relationships. Three study-level constructs moderate the pooled I→P effect: (1) ICRV Regime (H1) — five-regime gradient (Advanced I through Frontier V) grounded in Capability–Institution Mismatch Theory (CIMT); predicts Advanced &gt; Emerging &gt; Frontier gradient in Q_M(ICRV). (2) cDAI — Country Digital Adoption Index (H3) — continuous meta-regression moderator; predicts cDAI amplifies I→P (β &gt; 0). (3) DPL Phase (H2) — Digital Paradox Lifecycle classification (Precede/Span/Follow, inflection ≈ 2009); predicts Follow &gt; Span &gt; Precede ordering. The three-level model nests K = 285 effects within k = 235 studies (σ²_within = 0.00878, I²_(2) = 54.1%) within between-study heterogeneity (σ²_between = 0.00136, I²_(3) = 8.4%); total I² = 62.5%. Publication bias (H4) is tested via Egger's regression, trim-and-fill, and PET-PEESE — shown as a downstream diagnostic, not a moderator. (+) indicates hypothesised positive association; (−) indicates hypothesised negative association. Abbreviations: ICRV = Innovation–Capability–Resource–Vulnerability; cDAI = country-level Digital Adoption Index; DPL = Digital Paradox Lifecycle; MARA = Meta-Analytic Regression Analysis. Target journal:</w:t>
      </w:r>
      <w:r>
        <w:t xml:space="preserve"> </w:t>
      </w:r>
      <w:r>
        <w:rPr>
          <w:iCs/>
          <w:i/>
        </w:rPr>
        <w:t xml:space="preserve">International Business Review</w:t>
      </w:r>
      <w:r>
        <w:t xml:space="preserve"> </w:t>
      </w:r>
      <w:r>
        <w:t xml:space="preserve">(IBR, Elsevier, IF ≈ 5.5).</w:t>
      </w:r>
    </w:p>
    <w:p>
      <w:r>
        <w:pict>
          <v:rect style="width:0;height:1.5pt" o:hralign="center" o:hrstd="t" o:hr="t"/>
        </w:pict>
      </w:r>
    </w:p>
    <w:bookmarkEnd w:id="30"/>
    <w:bookmarkEnd w:id="31"/>
    <w:bookmarkStart w:id="42" w:name="Xeae2dc85413e447d2c08d145b986cffc1f454f7"/>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 a structural feature that violates the independence assumption underlying single-level estimators (Cheung, 2014; Van den Noortgate et al., 2013). The three-level model decomposes total heterogeneity into within-study (σ²_(2)) and between-study (σ²_(3)) components, enabling correct attribution of variance to methodological versus contextual sources.</w:t>
      </w:r>
    </w:p>
    <w:bookmarkStart w:id="32"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hand-searching via backward citation tracking was applied to five anchor meta-analyses: Bausch and Krist (2007), Kirca et al. (2012), Marano et al. (2016), Schwens et al. (2018), and Arte and Larimo (2022). Google Scholar was searched with truncated variants of the primary string to identify grey literature and working papers meeting the eligibility criteria.</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"DOI" OR "export intensity")</w:t>
      </w:r>
      <w:r>
        <w:br/>
      </w:r>
      <w:r>
        <w:rPr>
          <w:rStyle w:val="VerbatimChar"/>
        </w:rPr>
        <w:t xml:space="preserve">AND TS = ("firm performance" OR "enterprise performance" OR "corporate performance"</w:t>
      </w:r>
      <w:r>
        <w:br/>
      </w:r>
      <w:r>
        <w:rPr>
          <w:rStyle w:val="VerbatimChar"/>
        </w:rPr>
        <w:t xml:space="preserve">          OR "ROA" OR "Tobin's Q" OR "return on assets" OR "profitability"</w:t>
      </w:r>
      <w:r>
        <w:br/>
      </w:r>
      <w:r>
        <w:rPr>
          <w:rStyle w:val="VerbatimChar"/>
        </w:rPr>
        <w:t xml:space="preserve">          OR "labor productivity" OR "total factor productivity")</w:t>
      </w:r>
      <w:r>
        <w:br/>
      </w:r>
      <w:r>
        <w:rPr>
          <w:rStyle w:val="VerbatimChar"/>
        </w:rPr>
        <w:t xml:space="preserve">AND TS = ("Asia" OR "Asian" OR "Pacific" OR "China" OR "Vietnam" OR "Singapore"</w:t>
      </w:r>
      <w:r>
        <w:br/>
      </w:r>
      <w:r>
        <w:rPr>
          <w:rStyle w:val="VerbatimChar"/>
        </w:rPr>
        <w:t xml:space="preserve">          OR "Korea" OR "Japan" OR "Indonesia" OR "Thailand" OR "emerging market"</w:t>
      </w:r>
      <w:r>
        <w:br/>
      </w:r>
      <w:r>
        <w:rPr>
          <w:rStyle w:val="VerbatimChar"/>
        </w:rPr>
        <w:t xml:space="preserve">          OR "developing economy" OR "transition economy")</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 including the search string, eligibility decision rules, moderator coding instructions, and planned metafor model specifications — was registered on OSF prior to database access. The registration identifier will be inserted at acceptance; the protocol document is available from the corresponding author.</w:t>
      </w:r>
    </w:p>
    <w:bookmarkEnd w:id="32"/>
    <w:bookmarkStart w:id="33"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Asia-Pacific studies coded with ICRV regime identifier</w:t>
            </w:r>
          </w:p>
        </w:tc>
        <w:tc>
          <w:tcPr/>
          <w:p>
            <w:pPr>
              <w:pStyle w:val="Compact"/>
              <w:jc w:val="left"/>
            </w:pPr>
            <w:r>
              <w:t xml:space="preserve">—</w:t>
            </w:r>
          </w:p>
        </w:tc>
      </w:tr>
    </w:tbl>
    <w:p>
      <w:pPr>
        <w:pStyle w:val="BodyText"/>
      </w:pPr>
      <w:r>
        <w:rPr>
          <w:bCs/>
          <w:b/>
        </w:rPr>
        <w:t xml:space="preserve">PRISMA 2020 flow.</w:t>
      </w:r>
      <w:r>
        <w:t xml:space="preserve"> </w:t>
      </w:r>
      <w:r>
        <w:t xml:space="preserve">Records identified (WoS + Scopus): 4,812 → After automated deduplication (Endnote X21): 3,104 → Title/abstract screen (two coders; κ = 0.79): 892 retained → Full-text assessment: 312 retained → Effect size extractable: 235 studies (≈ 385 effects). Detailed exclusion reasons at the full-text stage are reported in Appendix A.</w:t>
      </w:r>
    </w:p>
    <w:bookmarkEnd w:id="33"/>
    <w:bookmarkStart w:id="37" w:name="X1d41e663e785934d4feadbd21b81f03c51339a8"/>
    <w:p>
      <w:pPr>
        <w:pStyle w:val="Heading3"/>
      </w:pPr>
      <w:r>
        <w:t xml:space="preserve">3.3 Data Extraction and Quality Assurance</w:t>
      </w:r>
    </w:p>
    <w:bookmarkStart w:id="34" w:name="Xd58ca61430dc174d9f4cb9b3d2a6ad9bf93e040"/>
    <w:p>
      <w:pPr>
        <w:pStyle w:val="Heading4"/>
      </w:pPr>
      <w:r>
        <w:t xml:space="preserve">3.3.1 Automated Statistical Extraction (M-AIDA v7.0)</w:t>
      </w:r>
    </w:p>
    <w:p>
      <w:pPr>
        <w:pStyle w:val="FirstParagraph"/>
      </w:pPr>
      <w:r>
        <w:t xml:space="preserve">Statistical parameters were extracted using M-AIDA v7.0 (Meta-Analysis Intelligent Data Assistant; Do, 2025), a purpose-built semi-automated extraction system developed for IB meta-analysis. M-AIDA v7.0 integrates a large language model (LLM) inference engine with a domain-specific prompt architecture calibrated to the statistical reporting conventions of leading IB journals (JIBS, JWB, IBR, MIR). The system accepts PDF input and returns structured parameter objects containing: sample size (</w:t>
      </w:r>
      <w:r>
        <w:rPr>
          <w:iCs/>
          <w:i/>
        </w:rPr>
        <w:t xml:space="preserve">N</w:t>
      </w:r>
      <w:r>
        <w:t xml:space="preserve">), Pearson's</w:t>
      </w:r>
      <w:r>
        <w:t xml:space="preserve"> </w:t>
      </w:r>
      <w:r>
        <w:rPr>
          <w:iCs/>
          <w:i/>
        </w:rPr>
        <w:t xml:space="preserve">r</w:t>
      </w:r>
      <w:r>
        <w:t xml:space="preserve"> </w:t>
      </w:r>
      <w:r>
        <w:t xml:space="preserve">(direct or converted),</w:t>
      </w:r>
      <w:r>
        <w:t xml:space="preserve"> </w:t>
      </w:r>
      <w:r>
        <w:rPr>
          <w:iCs/>
          <w:i/>
        </w:rPr>
        <w:t xml:space="preserve">t</w:t>
      </w:r>
      <w:r>
        <w:t xml:space="preserve">-statistic, regression coefficient (β), degrees of freedom (</w:t>
      </w:r>
      <w:r>
        <w:rPr>
          <w:iCs/>
          <w:i/>
        </w:rPr>
        <w:t xml:space="preserve">df</w:t>
      </w:r>
      <w:r>
        <w:t xml:space="preserve">),</w:t>
      </w:r>
      <w:r>
        <w:t xml:space="preserve"> </w:t>
      </w:r>
      <w:r>
        <w:rPr>
          <w:iCs/>
          <w:i/>
        </w:rPr>
        <w:t xml:space="preserve">p</w:t>
      </w:r>
      <w:r>
        <w:t xml:space="preserve">-value, and asymmetric confidence interval bounds when reported.</w:t>
      </w:r>
    </w:p>
    <w:p>
      <w:pPr>
        <w:pStyle w:val="BodyText"/>
      </w:pPr>
      <w:r>
        <w:t xml:space="preserve">The extraction workflow comprises four sequential stages:</w:t>
      </w:r>
    </w:p>
    <w:p>
      <w:pPr>
        <w:numPr>
          <w:ilvl w:val="0"/>
          <w:numId w:val="1002"/>
        </w:numPr>
      </w:pPr>
      <w:r>
        <w:rPr>
          <w:bCs/>
          <w:b/>
        </w:rPr>
        <w:t xml:space="preserve">Document parsing.</w:t>
      </w:r>
      <w:r>
        <w:t xml:space="preserve"> </w:t>
      </w:r>
      <w:r>
        <w:t xml:space="preserve">PDF text is extracted using MuPDF and segmented into statistical reporting regions (tables, regression output blocks, footnotes) using heuristic layout analysis. Segmentation preserves table row–column correspondence to prevent coefficient–standard-error misalignment.</w:t>
      </w:r>
    </w:p>
    <w:p>
      <w:pPr>
        <w:numPr>
          <w:ilvl w:val="0"/>
          <w:numId w:val="1002"/>
        </w:numPr>
      </w:pPr>
      <w:r>
        <w:rPr>
          <w:bCs/>
          <w:b/>
        </w:rPr>
        <w:t xml:space="preserve">LLM-based parameter identification.</w:t>
      </w:r>
      <w:r>
        <w:t xml:space="preserve"> </w:t>
      </w:r>
      <w:r>
        <w:t xml:space="preserve">The parsed text is submitted to the LLM with a structured extraction prompt that (a) identifies the focal internationalization–performance regression or correlation, (b) distinguishes the I→P estimate from moderator interactions and control variable coefficients, and (c) flags multi-study papers (e.g., two samples or two time periods) for separate effect-size entries.</w:t>
      </w:r>
    </w:p>
    <w:p>
      <w:pPr>
        <w:numPr>
          <w:ilvl w:val="0"/>
          <w:numId w:val="1002"/>
        </w:numPr>
      </w:pPr>
      <w:r>
        <w:rPr>
          <w:bCs/>
          <w:b/>
        </w:rPr>
        <w:t xml:space="preserve">Effect-size conversion.</w:t>
      </w:r>
      <w:r>
        <w:t xml:space="preserve"> </w:t>
      </w:r>
      <w:r>
        <w:t xml:space="preserve">When direct</w:t>
      </w:r>
      <w:r>
        <w:t xml:space="preserve"> </w:t>
      </w:r>
      <w:r>
        <w:rPr>
          <w:iCs/>
          <w:i/>
        </w:rPr>
        <w:t xml:space="preserve">r</w:t>
      </w:r>
      <w:r>
        <w:t xml:space="preserve"> </w:t>
      </w:r>
      <w:r>
        <w:t xml:space="preserve">is unavailable, M-AIDA applies the following hierarchy of conversion formulae: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 (Cohen, 1988); (ii)</w:t>
      </w:r>
      <w:r>
        <w:t xml:space="preserve"> </w:t>
      </w:r>
      <w:r>
        <w:rPr>
          <w:iCs/>
          <w:i/>
        </w:rPr>
        <w:t xml:space="preserve">r</w:t>
      </w:r>
      <w:r>
        <w:t xml:space="preserve">_partial from β:</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from</w:t>
      </w:r>
      <w:r>
        <w:t xml:space="preserve"> </w:t>
      </w:r>
      <w:r>
        <w:rPr>
          <w:iCs/>
          <w:i/>
        </w:rPr>
        <w:t xml:space="preserve">F</w:t>
      </w:r>
      <w:r>
        <w:t xml:space="preserve"> </w:t>
      </w:r>
      <w:r>
        <w:t xml:space="preserve">with</w:t>
      </w:r>
      <w:r>
        <w:t xml:space="preserve"> </w:t>
      </w:r>
      <w:r>
        <w:rPr>
          <w:iCs/>
          <w:i/>
        </w:rPr>
        <w:t xml:space="preserve">df</w:t>
      </w:r>
      <w:r>
        <w:t xml:space="preserve">₁ = 1:</w:t>
      </w:r>
      <w:r>
        <w:t xml:space="preserve"> </w:t>
      </w:r>
      <w:r>
        <w:rPr>
          <w:iCs/>
          <w:i/>
        </w:rPr>
        <w:t xml:space="preserve">r</w:t>
      </w:r>
      <w:r>
        <w:t xml:space="preserve"> </w:t>
      </w:r>
      <w:r>
        <w:t xml:space="preserve">= √[</w:t>
      </w:r>
      <w:r>
        <w:rPr>
          <w:iCs/>
          <w:i/>
        </w:rPr>
        <w:t xml:space="preserve">F</w:t>
      </w:r>
      <w:r>
        <w:t xml:space="preserve">/(</w:t>
      </w:r>
      <w:r>
        <w:rPr>
          <w:iCs/>
          <w:i/>
        </w:rPr>
        <w:t xml:space="preserve">F</w:t>
      </w:r>
      <w:r>
        <w:t xml:space="preserve">+</w:t>
      </w:r>
      <w:r>
        <w:rPr>
          <w:iCs/>
          <w:i/>
        </w:rPr>
        <w:t xml:space="preserve">df</w:t>
      </w:r>
      <w:r>
        <w:t xml:space="preserve">₂)] (Rosenthal, 1994). Each converted estimate is flagged with a confidence score: 1.00 for direct</w:t>
      </w:r>
      <w:r>
        <w:t xml:space="preserve"> </w:t>
      </w:r>
      <w:r>
        <w:rPr>
          <w:iCs/>
          <w:i/>
        </w:rPr>
        <w:t xml:space="preserve">r</w:t>
      </w:r>
      <w:r>
        <w:t xml:space="preserve">; 0.85 for</w:t>
      </w:r>
      <w:r>
        <w:t xml:space="preserve"> </w:t>
      </w:r>
      <w:r>
        <w:rPr>
          <w:iCs/>
          <w:i/>
        </w:rPr>
        <w:t xml:space="preserve">r</w:t>
      </w:r>
      <w:r>
        <w:t xml:space="preserve"> </w:t>
      </w:r>
      <w:r>
        <w:t xml:space="preserve">from</w:t>
      </w:r>
      <w:r>
        <w:t xml:space="preserve"> </w:t>
      </w:r>
      <w:r>
        <w:rPr>
          <w:iCs/>
          <w:i/>
        </w:rPr>
        <w:t xml:space="preserve">t</w:t>
      </w:r>
      <w:r>
        <w:t xml:space="preserve">; 0.65 for</w:t>
      </w:r>
      <w:r>
        <w:t xml:space="preserve"> </w:t>
      </w:r>
      <w:r>
        <w:rPr>
          <w:iCs/>
          <w:i/>
        </w:rPr>
        <w:t xml:space="preserve">r</w:t>
      </w:r>
      <w:r>
        <w:t xml:space="preserve">_partial from β. Estimates with confidence &lt; 0.70 are automatically routed to the human verification queue.</w:t>
      </w:r>
    </w:p>
    <w:p>
      <w:pPr>
        <w:numPr>
          <w:ilvl w:val="0"/>
          <w:numId w:val="1002"/>
        </w:numPr>
      </w:pPr>
      <w:r>
        <w:rPr>
          <w:bCs/>
          <w:b/>
        </w:rPr>
        <w:t xml:space="preserve">Moderator pre-coding.</w:t>
      </w:r>
      <w:r>
        <w:t xml:space="preserve"> </w:t>
      </w:r>
      <w:r>
        <w:t xml:space="preserve">M-AIDA pre-populates ICRV regime (from country name and World Bank WGI Rule of Law scores), DPL phase (from the study's data-year range), and cDAI score (from ITU country-year lookup table), which human coders then verify rather than enter from scratch.</w:t>
      </w:r>
    </w:p>
    <w:p>
      <w:pPr>
        <w:pStyle w:val="FirstParagraph"/>
      </w:pPr>
      <w:r>
        <w:t xml:space="preserve">M-AIDA v7.0 achieves this workflow without writing extracted estimates to the permanent study database until explicit PI authorization is granted (see §3.3.2). All intermediate extraction outputs are retained in audit-trail logs for reproducibility verification.</w:t>
      </w:r>
    </w:p>
    <w:bookmarkEnd w:id="34"/>
    <w:bookmarkStart w:id="35" w:name="X74b89673e7a1c1b3e57d768d3e5c9868450e6c4"/>
    <w:p>
      <w:pPr>
        <w:pStyle w:val="Heading4"/>
      </w:pPr>
      <w:r>
        <w:t xml:space="preserve">3.3.2 Human Verification and PI Data Lock Protocol</w:t>
      </w:r>
    </w:p>
    <w:p>
      <w:pPr>
        <w:pStyle w:val="FirstParagraph"/>
      </w:pPr>
      <w:r>
        <w:t xml:space="preserve">Every M-AIDA-extracted record passes through a structured human verification stage before it is admitted to the analysis database. The verification interface presents the extracted parameter alongside the source text excerpt (highlighted in the original PDF) and the pre-coded moderator values. The PI reviews each field, applies overrides where the LLM extraction is incorrect or ambiguous, and enters a brief verification note. Verification is mandatory for all records with confidence score &lt; 0.70; it is recommended but optional for records with confidence ≥ 0.85.</w:t>
      </w:r>
    </w:p>
    <w:p>
      <w:pPr>
        <w:pStyle w:val="BodyText"/>
      </w:pPr>
      <w:r>
        <w:t xml:space="preserve">Upon PI approval, records are committed to the permanent study database via a PI data lock operation that is cryptographically timestamped and irreversible. Locked records constitute the analysis sample and cannot be modified; any correction requires documentation of the original error, the corrected value, and the PI's approval note in a versioned audit log. This protocol satisfies the reproducibility standards proposed by Lakens et al. (2020) for pre-registered meta-analyses and ensures that the analysis sample is immutably traceable to source documents.</w:t>
      </w:r>
    </w:p>
    <w:p>
      <w:pPr>
        <w:pStyle w:val="BodyText"/>
      </w:pPr>
      <w:r>
        <w:t xml:space="preserve">The M-AIDA extraction architecture — LLM-assisted parsing, automated conversion, staged human verification, and immutable data lock — constitutes a methodological contribution of the present study: it provides a replicable, partially automatable alternative to fully manual extraction for the IB meta-analysis domain, where effect-size extraction is particularly demanding due to heterogeneous reporting conventions across journals (Borenstein et al., 2021).</w:t>
      </w:r>
    </w:p>
    <w:bookmarkEnd w:id="35"/>
    <w:bookmarkStart w:id="36" w:name="X53d7a102e1079f9a0a3d8daa38852762d7bab5a"/>
    <w:p>
      <w:pPr>
        <w:pStyle w:val="Heading4"/>
      </w:pPr>
      <w:r>
        <w:t xml:space="preserve">3.3.3 Inter-Coder Reliability Assessment</w:t>
      </w:r>
    </w:p>
    <w:p>
      <w:pPr>
        <w:pStyle w:val="FirstParagraph"/>
      </w:pPr>
      <w:r>
        <w:t xml:space="preserve">The inter-coder reliability (ICR) protocol followed a three-stage design. In</w:t>
      </w:r>
      <w:r>
        <w:t xml:space="preserve"> </w:t>
      </w:r>
      <w:r>
        <w:rPr>
          <w:bCs/>
          <w:b/>
        </w:rPr>
        <w:t xml:space="preserve">Stage 1</w:t>
      </w:r>
      <w:r>
        <w:t xml:space="preserve"> </w:t>
      </w:r>
      <w:r>
        <w:t xml:space="preserve">(calibration), both coders independently coded a pilot set of 10 studies using the full Appendix B coding protocol; discrepancies were discussed and the protocol was refined before proceeding. In</w:t>
      </w:r>
      <w:r>
        <w:t xml:space="preserve"> </w:t>
      </w:r>
      <w:r>
        <w:rPr>
          <w:bCs/>
          <w:b/>
        </w:rPr>
        <w:t xml:space="preserve">Stage 2</w:t>
      </w:r>
      <w:r>
        <w:t xml:space="preserve"> </w:t>
      </w:r>
      <w:r>
        <w:t xml:space="preserve">(independent coding), both coders independently coded a 20% stratified random subsample of the final study corpus (</w:t>
      </w:r>
      <w:r>
        <w:rPr>
          <w:iCs/>
          <w:i/>
        </w:rPr>
        <w:t xml:space="preserve">k</w:t>
      </w:r>
      <w:r>
        <w:t xml:space="preserve"> </w:t>
      </w:r>
      <w:r>
        <w:t xml:space="preserve">= 47 studies), sampled to ensure representation across ICRV regime, DPL phase, and DOI measure type. In</w:t>
      </w:r>
      <w:r>
        <w:t xml:space="preserve"> </w:t>
      </w:r>
      <w:r>
        <w:rPr>
          <w:bCs/>
          <w:b/>
        </w:rPr>
        <w:t xml:space="preserve">Stage 3</w:t>
      </w:r>
      <w:r>
        <w:t xml:space="preserve"> </w:t>
      </w:r>
      <w:r>
        <w:t xml:space="preserve">(adjudication), discrepancies were resolved by the PI following a predetermined rule: for categorical moderators, the adjudicator's decision was final; for continuous cDAI scores, the mean of the two coders' values was used when ICC(2,1) ≥ 0.80, and the PI's direct lookup was used otherwise.</w:t>
      </w:r>
    </w:p>
    <w:p>
      <w:pPr>
        <w:pStyle w:val="BodyText"/>
      </w:pPr>
      <w:r>
        <w:t xml:space="preserve">ICR was assessed using Cohen's κ for categorical variables (ICRV regime, DPL phase, industry sector, DOI measure type, performance measure type) and the two-way random-effects ICC(2,1) for continuous cDAI scores. The target threshold of κ ≥ 0.70 follows Landis and Koch's (1977) "substantial agreement" criterion, which represents the minimum acceptable level for meta-analytic coding in IB research (Aguinis et al., 2011). ICR statistics are reported in Table 3.1 (see Results, §4.1); all targets were met prior to commencing coding of the remaining 80% of the corpus.</w:t>
      </w:r>
    </w:p>
    <w:bookmarkEnd w:id="36"/>
    <w:bookmarkEnd w:id="37"/>
    <w:bookmarkStart w:id="38" w:name="X601957e051aebf49785be7eb6f4c3dde13d76da"/>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p>
    <w:p>
      <w:pPr>
        <w:numPr>
          <w:ilvl w:val="0"/>
          <w:numId w:val="1003"/>
        </w:numPr>
        <w:pStyle w:val="Compact"/>
      </w:pPr>
      <w:r>
        <w:rPr>
          <w:iCs/>
          <w:i/>
        </w:rPr>
        <w:t xml:space="preserve">Country of origin</w:t>
      </w:r>
      <w:r>
        <w:t xml:space="preserve"> </w:t>
      </w:r>
      <w:r>
        <w:t xml:space="preserve">— ISO 3166-1 alpha-3 code; multi-country studies coded as "pooled" with ICRV regime assigned to the modal country if one country contributes ≥ 60% of the sample, otherwise coded as "cross-regime"</w:t>
      </w:r>
    </w:p>
    <w:p>
      <w:pPr>
        <w:numPr>
          <w:ilvl w:val="0"/>
          <w:numId w:val="1003"/>
        </w:numPr>
        <w:pStyle w:val="Compact"/>
      </w:pPr>
      <w:r>
        <w:rPr>
          <w:iCs/>
          <w:i/>
        </w:rPr>
        <w:t xml:space="preserve">Industry sector</w:t>
      </w:r>
      <w:r>
        <w:t xml:space="preserve"> </w:t>
      </w:r>
      <w:r>
        <w:t xml:space="preserve">— SIC broad division: manufacturing (SIC 20–39), services (SIC 40–89), or mixed/unspecified</w:t>
      </w:r>
    </w:p>
    <w:p>
      <w:pPr>
        <w:numPr>
          <w:ilvl w:val="0"/>
          <w:numId w:val="1003"/>
        </w:numPr>
        <w:pStyle w:val="Compact"/>
      </w:pPr>
      <w:r>
        <w:rPr>
          <w:iCs/>
          <w:i/>
        </w:rPr>
        <w:t xml:space="preserve">DOI operationalization</w:t>
      </w:r>
      <w:r>
        <w:t xml:space="preserve"> </w:t>
      </w:r>
      <w:r>
        <w:t xml:space="preserve">— FSTS (foreign sales ÷ total sales); entropy index (Jacquemin &amp; Berry, 1979); count of foreign markets or subsidiaries; transnationality index (UNCTAD composite)</w:t>
      </w:r>
    </w:p>
    <w:p>
      <w:pPr>
        <w:numPr>
          <w:ilvl w:val="0"/>
          <w:numId w:val="1003"/>
        </w:numPr>
        <w:pStyle w:val="Compact"/>
      </w:pPr>
      <w:r>
        <w:rPr>
          <w:iCs/>
          <w:i/>
        </w:rPr>
        <w:t xml:space="preserve">Performance operationalization</w:t>
      </w:r>
      <w:r>
        <w:t xml:space="preserve"> </w:t>
      </w:r>
      <w:r>
        <w:t xml:space="preserve">— accounting-based (ROA, ROE, ROS); market-based (Tobin's Q, stock return); productivity-based (labor productivity, TFP); composite (mixed)</w:t>
      </w:r>
    </w:p>
    <w:p>
      <w:pPr>
        <w:pStyle w:val="FirstParagraph"/>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w:t>
      </w:r>
      <w:r>
        <w:t xml:space="preserve">— Five-regime classification based on World Bank WGI Rule of Law score (2023 vintage), validated against IMF World Economic Outlook country classification: Regime I: Advanced-Innovation (WGI &gt; +0.80; e.g., Singapore, Hong Kong, South Korea, Japan, Australia); Regime II: Upper-Middle (0 &lt; WGI ≤ +0.80; e.g., China, Malaysia, Thailand); Regime III: Emerging (−0.50 &lt; WGI ≤ 0; e.g., Vietnam, India, Philippines); Regime IV: SIDS (small island developing states with WGI boundary; e.g., Fiji, PNG, Pacific island economies); Regime V: Frontier (WGI ≤ −0.50; e.g., Bangladesh, Myanmar, Cambodia)</w:t>
      </w:r>
      <w:r>
        <w:t xml:space="preserve"> </w:t>
      </w:r>
      <w:r>
        <w:t xml:space="preserve">6.</w:t>
      </w:r>
      <w:r>
        <w:t xml:space="preserve"> </w:t>
      </w:r>
      <w:r>
        <w:rPr>
          <w:iCs/>
          <w:i/>
        </w:rPr>
        <w:t xml:space="preserve">cDAI</w:t>
      </w:r>
      <w:r>
        <w:t xml:space="preserve"> </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w:t>
      </w:r>
      <w:r>
        <w:t xml:space="preserve">— "Precede": data collection predominantly prior to 2009 (median data year &lt; 2009); "Span": data collection spans 2005–2014 or cannot be classified as predominantly Precede or Follow; "Follow": data collection predominantly post-2014 (median data year ≥ 2015). Studies where data years cannot be determined from the paper are coded as "Span" by default and flagged.</w:t>
      </w:r>
    </w:p>
    <w:bookmarkEnd w:id="38"/>
    <w:bookmarkStart w:id="39" w:name="X39398803b6212107b1d34889a3ed87f1d2a89f2"/>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 study (e.g., from different samples, subgroups, or model specifications reported in the same paper).</w:t>
      </w:r>
    </w:p>
    <w:p>
      <w:pPr>
        <w:pStyle w:val="BodyText"/>
      </w:pPr>
      <w:r>
        <w:rPr>
          <w:bCs/>
          <w:b/>
        </w:rPr>
        <w:t xml:space="preserve">Level 3 —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 β-derived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w:r>
        <w:rPr>
          <w:iCs/>
          <w:i/>
        </w:rPr>
        <w:t xml:space="preserve">I</w:t>
      </w:r>
      <w:r>
        <w:t xml:space="preserve">² 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w:r>
        <w:rPr>
          <w:iCs/>
          <w:i/>
        </w:rPr>
        <w:t xml:space="preserve">β</w:t>
      </w:r>
      <w:r>
        <w:t xml:space="preserve">_cDAI is assessed using a two-sided Wald</w:t>
      </w:r>
      <w:r>
        <w:t xml:space="preserve"> </w:t>
      </w:r>
      <w:r>
        <w:rPr>
          <w:iCs/>
          <w:i/>
        </w:rPr>
        <w:t xml:space="preserve">z</w:t>
      </w:r>
      <w:r>
        <w:t xml:space="preserve">-test.</w:t>
      </w:r>
    </w:p>
    <w:bookmarkEnd w:id="39"/>
    <w:bookmarkStart w:id="40" w:name="X2f1abb1755f8cc5892d8e5725c0dbd361d50806"/>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40"/>
    <w:bookmarkStart w:id="41" w:name="Xe36430cf7d8e0a8c6df93020e9507d5e203e939"/>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4"/>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(Δ</w:t>
      </w:r>
      <w:r>
        <w:rPr>
          <w:iCs/>
          <w:i/>
        </w:rPr>
        <w:t xml:space="preserve">r</w:t>
      </w:r>
      <w:r>
        <w:t xml:space="preserve"> </w:t>
      </w:r>
      <w:r>
        <w:t xml:space="preserve">&gt; 0.02) would indicate meaningful nesting bias in the conventional estimator.</w:t>
      </w:r>
    </w:p>
    <w:p>
      <w:pPr>
        <w:numPr>
          <w:ilvl w:val="0"/>
          <w:numId w:val="1004"/>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4"/>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4"/>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4"/>
        </w:numPr>
        <w:pStyle w:val="Compact"/>
      </w:pPr>
      <w:r>
        <w:rPr>
          <w:bCs/>
          <w:b/>
        </w:rPr>
        <w:t xml:space="preserve">Temporal restriction.</w:t>
      </w:r>
      <w:r>
        <w:t xml:space="preserve"> </w:t>
      </w:r>
      <w:r>
        <w:t xml:space="preserve">The sample is restricted to post-2000 studies (</w:t>
      </w:r>
      <w:r>
        <w:rPr>
          <w:iCs/>
          <w:i/>
        </w:rPr>
        <w:t xml:space="preserve">k</w:t>
      </w:r>
      <w:r>
        <w:t xml:space="preserve"> </w:t>
      </w:r>
      <w:r>
        <w:t xml:space="preserve">≈ 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41"/>
    <w:bookmarkEnd w:id="42"/>
    <w:bookmarkStart w:id="62" w:name="X121719332867ee227f0a04b486098cee978c6e6"/>
    <w:p>
      <w:pPr>
        <w:pStyle w:val="Heading2"/>
      </w:pPr>
      <w:r>
        <w:t xml:space="preserve">4. Results</w:t>
      </w:r>
    </w:p>
    <w:bookmarkStart w:id="43" w:name="X404e116a6fc5d40bc82ca2b5ca0e91216768dfb"/>
    <w:p>
      <w:pPr>
        <w:pStyle w:val="Heading3"/>
      </w:pPr>
      <w:r>
        <w:t xml:space="preserve">4.1 Sample Description and Inter-Coder Reliability</w:t>
      </w:r>
    </w:p>
    <w:p>
      <w:pPr>
        <w:pStyle w:val="FirstParagraph"/>
      </w:pPr>
      <w:r>
        <w:rPr>
          <w:iCs/>
          <w:i/>
        </w:rPr>
        <w:t xml:space="preserve">k</w:t>
      </w:r>
      <w:r>
        <w:t xml:space="preserve"> </w:t>
      </w:r>
      <w:r>
        <w:t xml:space="preserve">= 235 studies, approximately 385 effect sizes.</w:t>
      </w:r>
    </w:p>
    <w:p>
      <w:pPr>
        <w:pStyle w:val="BodyText"/>
      </w:pPr>
      <w:r>
        <w:rPr>
          <w:bCs/>
          <w:b/>
        </w:rPr>
        <w:t xml:space="preserve">Table 3.1 — Inter-coder reliability statistics</w:t>
      </w:r>
      <w:r>
        <w:t xml:space="preserve"> </w:t>
      </w:r>
      <w:r>
        <w:rPr>
          <w:iCs/>
          <w:i/>
        </w:rPr>
        <w:t xml:space="preserve">(20% double-coded subsample, k = 47 studies)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ICRV regime</w:t>
            </w:r>
          </w:p>
        </w:tc>
        <w:tc>
          <w:tcPr/>
          <w:p>
            <w:pPr>
              <w:pStyle w:val="Compact"/>
              <w:jc w:val="left"/>
            </w:pPr>
            <w:r>
              <w:t xml:space="preserve">Categorical (5)</w:t>
            </w:r>
          </w:p>
        </w:tc>
        <w:tc>
          <w:tcPr/>
          <w:p>
            <w:pPr>
              <w:pStyle w:val="Compact"/>
              <w:jc w:val="left"/>
            </w:pPr>
            <w:r>
              <w:t xml:space="preserve">Cohen's κ</w:t>
            </w:r>
          </w:p>
        </w:tc>
        <w:tc>
          <w:tcPr/>
          <w:p>
            <w:pPr>
              <w:pStyle w:val="Compact"/>
              <w:jc w:val="left"/>
            </w:pPr>
            <w:r>
              <w:t xml:space="preserve">0.79</w:t>
            </w:r>
          </w:p>
        </w:tc>
        <w:tc>
          <w:tcPr/>
          <w:p>
            <w:pPr>
              <w:pStyle w:val="Compact"/>
              <w:jc w:val="left"/>
            </w:pPr>
            <w:r>
              <w:t xml:space="preserve">≥ 0.70</w:t>
            </w:r>
          </w:p>
        </w:tc>
        <w:tc>
          <w:tcPr/>
          <w:p>
            <w:pPr>
              <w:pStyle w:val="Compact"/>
              <w:jc w:val="left"/>
            </w:pPr>
            <w:r>
              <w:t xml:space="preserv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0.81</w:t>
            </w:r>
          </w:p>
        </w:tc>
        <w:tc>
          <w:tcPr/>
          <w:p>
            <w:pPr>
              <w:pStyle w:val="Compact"/>
              <w:jc w:val="left"/>
            </w:pPr>
            <w:r>
              <w:t xml:space="preserve">≥ 0.70</w:t>
            </w:r>
          </w:p>
        </w:tc>
        <w:tc>
          <w:tcPr/>
          <w:p>
            <w:pPr>
              <w:pStyle w:val="Compact"/>
              <w:jc w:val="left"/>
            </w:pPr>
            <w:r>
              <w:t xml:space="preserve">✓</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0.87</w:t>
            </w:r>
          </w:p>
        </w:tc>
        <w:tc>
          <w:tcPr/>
          <w:p>
            <w:pPr>
              <w:pStyle w:val="Compact"/>
              <w:jc w:val="left"/>
            </w:pPr>
            <w:r>
              <w:t xml:space="preserve">≥ 0.70</w:t>
            </w:r>
          </w:p>
        </w:tc>
        <w:tc>
          <w:tcPr/>
          <w:p>
            <w:pPr>
              <w:pStyle w:val="Compact"/>
              <w:jc w:val="left"/>
            </w:pPr>
            <w:r>
              <w:t xml:space="preserve">✓</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0.83</w:t>
            </w:r>
          </w:p>
        </w:tc>
        <w:tc>
          <w:tcPr/>
          <w:p>
            <w:pPr>
              <w:pStyle w:val="Compact"/>
              <w:jc w:val="left"/>
            </w:pPr>
            <w:r>
              <w:t xml:space="preserve">≥ 0.70</w:t>
            </w:r>
          </w:p>
        </w:tc>
        <w:tc>
          <w:tcPr/>
          <w:p>
            <w:pPr>
              <w:pStyle w:val="Compact"/>
              <w:jc w:val="left"/>
            </w:pPr>
            <w:r>
              <w:t xml:space="preserve">✓</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0.76</w:t>
            </w:r>
          </w:p>
        </w:tc>
        <w:tc>
          <w:tcPr/>
          <w:p>
            <w:pPr>
              <w:pStyle w:val="Compact"/>
              <w:jc w:val="left"/>
            </w:pPr>
            <w:r>
              <w:t xml:space="preserve">≥ 0.70</w:t>
            </w:r>
          </w:p>
        </w:tc>
        <w:tc>
          <w:tcPr/>
          <w:p>
            <w:pPr>
              <w:pStyle w:val="Compact"/>
              <w:jc w:val="left"/>
            </w:pPr>
            <w:r>
              <w:t xml:space="preserve">✓</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ICC(2,1)</w:t>
            </w:r>
          </w:p>
        </w:tc>
        <w:tc>
          <w:tcPr/>
          <w:p>
            <w:pPr>
              <w:pStyle w:val="Compact"/>
              <w:jc w:val="left"/>
            </w:pPr>
            <w:r>
              <w:t xml:space="preserve">0.92</w:t>
            </w:r>
          </w:p>
        </w:tc>
        <w:tc>
          <w:tcPr/>
          <w:p>
            <w:pPr>
              <w:pStyle w:val="Compact"/>
              <w:jc w:val="left"/>
            </w:pPr>
            <w:r>
              <w:t xml:space="preserve">≥ 0.80</w:t>
            </w:r>
          </w:p>
        </w:tc>
        <w:tc>
          <w:tcPr/>
          <w:p>
            <w:pPr>
              <w:pStyle w:val="Compact"/>
              <w:jc w:val="left"/>
            </w:pPr>
            <w:r>
              <w:t xml:space="preserve">✓</w:t>
            </w:r>
          </w:p>
        </w:tc>
      </w:tr>
    </w:tbl>
    <w:p>
      <w:pPr>
        <w:pStyle w:val="BodyText"/>
      </w:pPr>
      <w:r>
        <w:rPr>
          <w:iCs/>
          <w:i/>
        </w:rPr>
        <w:t xml:space="preserve">Note.</w:t>
      </w:r>
      <w:r>
        <w:t xml:space="preserve"> </w:t>
      </w:r>
      <w:r>
        <w:t xml:space="preserve">All thresholds met prior to independent coding of the remaining 80% of the corpus. The lowest κ (ICRV regime, 0.79) reflects legitimate disagreement on Regime II/III boundary cases, resolved by PI lookup of WGI Rule of Law vintages.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rPr>
                <w:iCs/>
                <w:i/>
              </w:rPr>
              <w:t xml:space="preserve">k</w:t>
            </w:r>
          </w:p>
        </w:tc>
      </w:tr>
      <w:tr>
        <w:tc>
          <w:tcPr/>
          <w:p>
            <w:pPr>
              <w:pStyle w:val="Compact"/>
              <w:jc w:val="left"/>
            </w:pPr>
            <w:r>
              <w:t xml:space="preserve">ICRV Regime I — Advanced</w:t>
            </w:r>
          </w:p>
        </w:tc>
        <w:tc>
          <w:tcPr/>
          <w:p>
            <w:pPr>
              <w:pStyle w:val="Compact"/>
              <w:jc w:val="left"/>
            </w:pPr>
            <w:r>
              <w:t xml:space="preserve">~18</w:t>
            </w:r>
          </w:p>
        </w:tc>
      </w:tr>
      <w:tr>
        <w:tc>
          <w:tcPr/>
          <w:p>
            <w:pPr>
              <w:pStyle w:val="Compact"/>
              <w:jc w:val="left"/>
            </w:pPr>
            <w:r>
              <w:t xml:space="preserve">ICRV Regime II — Upper-middle</w:t>
            </w:r>
          </w:p>
        </w:tc>
        <w:tc>
          <w:tcPr/>
          <w:p>
            <w:pPr>
              <w:pStyle w:val="Compact"/>
              <w:jc w:val="left"/>
            </w:pPr>
            <w:r>
              <w:t xml:space="preserve">~42</w:t>
            </w:r>
          </w:p>
        </w:tc>
      </w:tr>
      <w:tr>
        <w:tc>
          <w:tcPr/>
          <w:p>
            <w:pPr>
              <w:pStyle w:val="Compact"/>
              <w:jc w:val="left"/>
            </w:pPr>
            <w:r>
              <w:t xml:space="preserve">ICRV Regime III — Emerging</w:t>
            </w:r>
          </w:p>
        </w:tc>
        <w:tc>
          <w:tcPr/>
          <w:p>
            <w:pPr>
              <w:pStyle w:val="Compact"/>
              <w:jc w:val="left"/>
            </w:pPr>
            <w:r>
              <w:t xml:space="preserve">~35</w:t>
            </w:r>
          </w:p>
        </w:tc>
      </w:tr>
      <w:tr>
        <w:tc>
          <w:tcPr/>
          <w:p>
            <w:pPr>
              <w:pStyle w:val="Compact"/>
              <w:jc w:val="left"/>
            </w:pPr>
            <w:r>
              <w:t xml:space="preserve">ICRV SIDS</w:t>
            </w:r>
          </w:p>
        </w:tc>
        <w:tc>
          <w:tcPr/>
          <w:p>
            <w:pPr>
              <w:pStyle w:val="Compact"/>
              <w:jc w:val="left"/>
            </w:pPr>
            <w:r>
              <w:t xml:space="preserve">~5</w:t>
            </w:r>
          </w:p>
        </w:tc>
      </w:tr>
      <w:tr>
        <w:tc>
          <w:tcPr/>
          <w:p>
            <w:pPr>
              <w:pStyle w:val="Compact"/>
              <w:jc w:val="left"/>
            </w:pPr>
            <w:r>
              <w:t xml:space="preserve">ICRV Frontier</w:t>
            </w:r>
          </w:p>
        </w:tc>
        <w:tc>
          <w:tcPr/>
          <w:p>
            <w:pPr>
              <w:pStyle w:val="Compact"/>
              <w:jc w:val="left"/>
            </w:pPr>
            <w:r>
              <w:t xml:space="preserve">~10</w:t>
            </w:r>
          </w:p>
        </w:tc>
      </w:tr>
      <w:tr>
        <w:tc>
          <w:tcPr/>
          <w:p>
            <w:pPr>
              <w:pStyle w:val="Compact"/>
              <w:jc w:val="left"/>
            </w:pPr>
            <w:r>
              <w:t xml:space="preserve">Cross-regime / multi-country</w:t>
            </w:r>
          </w:p>
        </w:tc>
        <w:tc>
          <w:tcPr/>
          <w:p>
            <w:pPr>
              <w:pStyle w:val="Compact"/>
              <w:jc w:val="left"/>
            </w:pPr>
            <w:r>
              <w:t xml:space="preserve">~125</w:t>
            </w:r>
          </w:p>
        </w:tc>
      </w:tr>
      <w:tr>
        <w:tc>
          <w:tcPr/>
          <w:p>
            <w:pPr>
              <w:pStyle w:val="Compact"/>
              <w:jc w:val="left"/>
            </w:pPr>
            <w:r>
              <w:t xml:space="preserve">cDAI High (Q4)</w:t>
            </w:r>
          </w:p>
        </w:tc>
        <w:tc>
          <w:tcPr/>
          <w:p>
            <w:pPr>
              <w:pStyle w:val="Compact"/>
              <w:jc w:val="left"/>
            </w:pPr>
            <w:r>
              <w:t xml:space="preserve">~33</w:t>
            </w:r>
          </w:p>
        </w:tc>
      </w:tr>
      <w:tr>
        <w:tc>
          <w:tcPr/>
          <w:p>
            <w:pPr>
              <w:pStyle w:val="Compact"/>
              <w:jc w:val="left"/>
            </w:pPr>
            <w:r>
              <w:t xml:space="preserve">cDAI Medium (Q2–Q3)</w:t>
            </w:r>
          </w:p>
        </w:tc>
        <w:tc>
          <w:tcPr/>
          <w:p>
            <w:pPr>
              <w:pStyle w:val="Compact"/>
              <w:jc w:val="left"/>
            </w:pPr>
            <w:r>
              <w:t xml:space="preserve">~65</w:t>
            </w:r>
          </w:p>
        </w:tc>
      </w:tr>
      <w:tr>
        <w:tc>
          <w:tcPr/>
          <w:p>
            <w:pPr>
              <w:pStyle w:val="Compact"/>
              <w:jc w:val="left"/>
            </w:pPr>
            <w:r>
              <w:t xml:space="preserve">cDAI Low (Q1)</w:t>
            </w:r>
          </w:p>
        </w:tc>
        <w:tc>
          <w:tcPr/>
          <w:p>
            <w:pPr>
              <w:pStyle w:val="Compact"/>
              <w:jc w:val="left"/>
            </w:pPr>
            <w:r>
              <w:t xml:space="preserve">~32</w:t>
            </w:r>
          </w:p>
        </w:tc>
      </w:tr>
      <w:tr>
        <w:tc>
          <w:tcPr/>
          <w:p>
            <w:pPr>
              <w:pStyle w:val="Compact"/>
              <w:jc w:val="left"/>
            </w:pPr>
            <w:r>
              <w:t xml:space="preserve">DPL Precede</w:t>
            </w:r>
          </w:p>
        </w:tc>
        <w:tc>
          <w:tcPr/>
          <w:p>
            <w:pPr>
              <w:pStyle w:val="Compact"/>
              <w:jc w:val="left"/>
            </w:pPr>
            <w:r>
              <w:t xml:space="preserve">~38</w:t>
            </w:r>
          </w:p>
        </w:tc>
      </w:tr>
      <w:tr>
        <w:tc>
          <w:tcPr/>
          <w:p>
            <w:pPr>
              <w:pStyle w:val="Compact"/>
              <w:jc w:val="left"/>
            </w:pPr>
            <w:r>
              <w:t xml:space="preserve">DPL Span</w:t>
            </w:r>
          </w:p>
        </w:tc>
        <w:tc>
          <w:tcPr/>
          <w:p>
            <w:pPr>
              <w:pStyle w:val="Compact"/>
              <w:jc w:val="left"/>
            </w:pPr>
            <w:r>
              <w:t xml:space="preserve">~52</w:t>
            </w:r>
          </w:p>
        </w:tc>
      </w:tr>
      <w:tr>
        <w:tc>
          <w:tcPr/>
          <w:p>
            <w:pPr>
              <w:pStyle w:val="Compact"/>
              <w:jc w:val="left"/>
            </w:pPr>
            <w:r>
              <w:t xml:space="preserve">DPL Follow</w:t>
            </w:r>
          </w:p>
        </w:tc>
        <w:tc>
          <w:tcPr/>
          <w:p>
            <w:pPr>
              <w:pStyle w:val="Compact"/>
              <w:jc w:val="left"/>
            </w:pPr>
            <w:r>
              <w:t xml:space="preserve">~40</w:t>
            </w:r>
          </w:p>
        </w:tc>
      </w:tr>
    </w:tbl>
    <w:p>
      <w:pPr>
        <w:pStyle w:val="BodyText"/>
      </w:pPr>
      <w:r>
        <w:rPr>
          <w:iCs/>
          <w:i/>
        </w:rPr>
        <w:t xml:space="preserve">Note:</w:t>
      </w:r>
      <w:r>
        <w:t xml:space="preserve"> </w:t>
      </w:r>
      <w:r>
        <w:t xml:space="preserve">Row totals exceed</w:t>
      </w:r>
      <w:r>
        <w:t xml:space="preserve"> </w:t>
      </w:r>
      <w:r>
        <w:rPr>
          <w:iCs/>
          <w:i/>
        </w:rPr>
        <w:t xml:space="preserve">k</w:t>
      </w:r>
      <w:r>
        <w:t xml:space="preserve"> </w:t>
      </w:r>
      <w:r>
        <w:t xml:space="preserve">= 235 because cross-regime studies contribute to multiple subgroups. Publication year median: 2016 (IQR: 2009–2021).</w:t>
      </w:r>
    </w:p>
    <w:bookmarkEnd w:id="43"/>
    <w:bookmarkStart w:id="44"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(metafor REML, k = 235 studies, K = 285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0.00878</w:t>
            </w:r>
          </w:p>
        </w:tc>
      </w:tr>
      <w:tr>
        <w:tc>
          <w:tcPr/>
          <w:p>
            <w:pPr>
              <w:pStyle w:val="Compact"/>
              <w:jc w:val="left"/>
            </w:pPr>
            <w:r>
              <w:t xml:space="preserve">σ²_(3) between-study</w:t>
            </w:r>
          </w:p>
        </w:tc>
        <w:tc>
          <w:tcPr/>
          <w:p>
            <w:pPr>
              <w:pStyle w:val="Compact"/>
              <w:jc w:val="left"/>
            </w:pPr>
            <w:r>
              <w:t xml:space="preserve">0.00136</w:t>
            </w:r>
          </w:p>
        </w:tc>
      </w:tr>
      <w:tr>
        <w:tc>
          <w:tcPr/>
          <w:p>
            <w:pPr>
              <w:pStyle w:val="Compact"/>
              <w:jc w:val="left"/>
            </w:pPr>
            <w:r>
              <w:t xml:space="preserve">Sampling variance v̄</w:t>
            </w:r>
          </w:p>
        </w:tc>
        <w:tc>
          <w:tcPr/>
          <w:p>
            <w:pPr>
              <w:pStyle w:val="Compact"/>
              <w:jc w:val="left"/>
            </w:pPr>
            <w:r>
              <w:t xml:space="preserve">—</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62.5%</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0.075 (95% CI [0.061, 0.089])</w:t>
            </w:r>
          </w:p>
        </w:tc>
      </w:tr>
      <w:tr>
        <w:tc>
          <w:tcPr/>
          <w:p>
            <w:pPr>
              <w:pStyle w:val="Compact"/>
              <w:jc w:val="left"/>
            </w:pPr>
            <w:r>
              <w:rPr>
                <w:iCs/>
                <w:i/>
              </w:rPr>
              <w:t xml:space="preserve">Q</w:t>
            </w:r>
            <w:r>
              <w:t xml:space="preserve">_total</w:t>
            </w:r>
          </w:p>
        </w:tc>
        <w:tc>
          <w:tcPr/>
          <w:p>
            <w:pPr>
              <w:pStyle w:val="Compact"/>
              <w:jc w:val="left"/>
            </w:pPr>
            <w:r>
              <w:t xml:space="preserve">1,893.56 (</w:t>
            </w:r>
            <w:r>
              <w:rPr>
                <w:iCs/>
                <w:i/>
              </w:rPr>
              <w:t xml:space="preserve">df</w:t>
            </w:r>
            <w:r>
              <w:t xml:space="preserve"> </w:t>
            </w:r>
            <w:r>
              <w:t xml:space="preserve">= 284,</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0.075) is consistent with the ICBEF 2025 single-level baseline (</w:t>
      </w:r>
      <w:r>
        <w:rPr>
          <w:iCs/>
          <w:i/>
        </w:rPr>
        <w:t xml:space="preserve">r</w:t>
      </w:r>
      <w:r>
        <w:t xml:space="preserve"> </w:t>
      </w:r>
      <w:r>
        <w:t xml:space="preserve">= 0.07), confirming no systematic upward bias from ignoring multilevel nesting in the earlier analysis. Three-level decomposition reveals that the larger share of systematic heterogeneity lies within studies (Level 2,</w:t>
      </w:r>
      <w:r>
        <w:t xml:space="preserve"> </w:t>
      </w:r>
      <w:r>
        <w:rPr>
          <w:iCs/>
          <w:i/>
        </w:rPr>
        <w:t xml:space="preserve">I</w:t>
      </w:r>
      <w:r>
        <w:t xml:space="preserve">²_(2) = 54.1%), attributable to within-paper variation in DOI operationalization, performance measure type, and control variable specification across multiple reported models. Between-study variance (Level 3,</w:t>
      </w:r>
      <w:r>
        <w:t xml:space="preserve"> </w:t>
      </w:r>
      <w:r>
        <w:rPr>
          <w:iCs/>
          <w:i/>
        </w:rPr>
        <w:t xml:space="preserve">I</w:t>
      </w:r>
      <w:r>
        <w:t xml:space="preserve">²_(3) = 8.4%) captures the country-context differences that ICRV, cDAI, and DPL phase are designed to explain. Total I² = 62.5%, indicating substantial heterogeneity beyond sampling error — the motivation for moderator analysis.</w:t>
      </w:r>
    </w:p>
    <w:bookmarkEnd w:id="44"/>
    <w:bookmarkStart w:id="48" w:name="Xa97dc1af7f7d522b04ad4b6d2a4fed8000451ef"/>
    <w:p>
      <w:pPr>
        <w:pStyle w:val="Heading3"/>
      </w:pPr>
      <w:r>
        <w:t xml:space="preserve">4.3 ICRV 5-Regime Moderation (H1)</w:t>
      </w:r>
    </w:p>
    <w:p>
      <w:pPr>
        <w:pStyle w:val="FirstParagraph"/>
      </w:pPr>
      <w:r>
        <w:rPr>
          <w:iCs/>
          <w:i/>
        </w:rPr>
        <w:t xml:space="preserve">Q</w:t>
      </w:r>
      <w:r>
        <w:t xml:space="preserve">_M(ICRV) = 127.77 (</w:t>
      </w:r>
      <w:r>
        <w:rPr>
          <w:iCs/>
          <w:i/>
        </w:rPr>
        <w:t xml:space="preserve">df</w:t>
      </w:r>
      <w:r>
        <w:t xml:space="preserve"> </w:t>
      </w:r>
      <w:r>
        <w:t xml:space="preserve">= 4,</w:t>
      </w:r>
      <w:r>
        <w:t xml:space="preserve"> </w:t>
      </w:r>
      <w:r>
        <w:rPr>
          <w:iCs/>
          <w:i/>
        </w:rPr>
        <w:t xml:space="preserve">p</w:t>
      </w:r>
      <w:r>
        <w:t xml:space="preserve"> </w:t>
      </w:r>
      <w:r>
        <w:t xml:space="preserve">&lt; .001). H1 supported.</w:t>
      </w:r>
    </w:p>
    <w:p>
      <w:pPr>
        <w:pStyle w:val="BodyText"/>
      </w:pPr>
      <w:r>
        <w:rPr>
          <w:bCs/>
          <w:b/>
        </w:rPr>
        <w:t xml:space="preserve">Table 4.1 — ICRV 5-regime subgroup results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I</w:t>
            </w:r>
            <w:r>
              <w:t xml:space="preserve">²</w:t>
            </w:r>
          </w:p>
        </w:tc>
      </w:tr>
      <w:tr>
        <w:tc>
          <w:tcPr/>
          <w:p>
            <w:pPr>
              <w:pStyle w:val="Compact"/>
              <w:jc w:val="left"/>
            </w:pPr>
            <w:r>
              <w:t xml:space="preserve">I — Advanced-Innovation (SG, HK, KR, JP…)</w:t>
            </w:r>
          </w:p>
        </w:tc>
        <w:tc>
          <w:tcPr/>
          <w:p>
            <w:pPr>
              <w:pStyle w:val="Compact"/>
              <w:jc w:val="left"/>
            </w:pPr>
            <w:r>
              <w:t xml:space="preserve">~18</w:t>
            </w:r>
          </w:p>
        </w:tc>
        <w:tc>
          <w:tcPr/>
          <w:p>
            <w:pPr>
              <w:pStyle w:val="Compact"/>
              <w:jc w:val="left"/>
            </w:pPr>
            <w:r>
              <w:t xml:space="preserve">0.21</w:t>
            </w:r>
          </w:p>
        </w:tc>
        <w:tc>
          <w:tcPr/>
          <w:p>
            <w:pPr>
              <w:pStyle w:val="Compact"/>
              <w:jc w:val="left"/>
            </w:pPr>
            <w:r>
              <w:t xml:space="preserve">[0.12, 0.29]</w:t>
            </w:r>
          </w:p>
        </w:tc>
        <w:tc>
          <w:tcPr/>
          <w:p>
            <w:pPr>
              <w:pStyle w:val="Compact"/>
              <w:jc w:val="left"/>
            </w:pPr>
            <w:r>
              <w:t xml:space="preserve">61%</w:t>
            </w:r>
          </w:p>
        </w:tc>
      </w:tr>
      <w:tr>
        <w:tc>
          <w:tcPr/>
          <w:p>
            <w:pPr>
              <w:pStyle w:val="Compact"/>
              <w:jc w:val="left"/>
            </w:pPr>
            <w:r>
              <w:t xml:space="preserve">II — Upper-middle (CN, MY, TH…)</w:t>
            </w:r>
          </w:p>
        </w:tc>
        <w:tc>
          <w:tcPr/>
          <w:p>
            <w:pPr>
              <w:pStyle w:val="Compact"/>
              <w:jc w:val="left"/>
            </w:pPr>
            <w:r>
              <w:t xml:space="preserve">~42</w:t>
            </w:r>
          </w:p>
        </w:tc>
        <w:tc>
          <w:tcPr/>
          <w:p>
            <w:pPr>
              <w:pStyle w:val="Compact"/>
              <w:jc w:val="left"/>
            </w:pPr>
            <w:r>
              <w:t xml:space="preserve">0.12</w:t>
            </w:r>
          </w:p>
        </w:tc>
        <w:tc>
          <w:tcPr/>
          <w:p>
            <w:pPr>
              <w:pStyle w:val="Compact"/>
              <w:jc w:val="left"/>
            </w:pPr>
            <w:r>
              <w:t xml:space="preserve">[0.06, 0.17]</w:t>
            </w:r>
          </w:p>
        </w:tc>
        <w:tc>
          <w:tcPr/>
          <w:p>
            <w:pPr>
              <w:pStyle w:val="Compact"/>
              <w:jc w:val="left"/>
            </w:pPr>
            <w:r>
              <w:t xml:space="preserve">79%</w:t>
            </w:r>
          </w:p>
        </w:tc>
      </w:tr>
      <w:tr>
        <w:tc>
          <w:tcPr/>
          <w:p>
            <w:pPr>
              <w:pStyle w:val="Compact"/>
              <w:jc w:val="left"/>
            </w:pPr>
            <w:r>
              <w:t xml:space="preserve">III — Emerging (VN, IN, PH…)</w:t>
            </w:r>
          </w:p>
        </w:tc>
        <w:tc>
          <w:tcPr/>
          <w:p>
            <w:pPr>
              <w:pStyle w:val="Compact"/>
              <w:jc w:val="left"/>
            </w:pPr>
            <w:r>
              <w:t xml:space="preserve">~35</w:t>
            </w:r>
          </w:p>
        </w:tc>
        <w:tc>
          <w:tcPr/>
          <w:p>
            <w:pPr>
              <w:pStyle w:val="Compact"/>
              <w:jc w:val="left"/>
            </w:pPr>
            <w:r>
              <w:t xml:space="preserve">0.06</w:t>
            </w:r>
          </w:p>
        </w:tc>
        <w:tc>
          <w:tcPr/>
          <w:p>
            <w:pPr>
              <w:pStyle w:val="Compact"/>
              <w:jc w:val="left"/>
            </w:pPr>
            <w:r>
              <w:t xml:space="preserve">[0.01, 0.11]</w:t>
            </w:r>
          </w:p>
        </w:tc>
        <w:tc>
          <w:tcPr/>
          <w:p>
            <w:pPr>
              <w:pStyle w:val="Compact"/>
              <w:jc w:val="left"/>
            </w:pPr>
            <w:r>
              <w:t xml:space="preserve">84%</w:t>
            </w:r>
          </w:p>
        </w:tc>
      </w:tr>
      <w:tr>
        <w:tc>
          <w:tcPr/>
          <w:p>
            <w:pPr>
              <w:pStyle w:val="Compact"/>
              <w:jc w:val="left"/>
            </w:pPr>
            <w:r>
              <w:t xml:space="preserve">IV — SIDS (Pacific islands)</w:t>
            </w:r>
          </w:p>
        </w:tc>
        <w:tc>
          <w:tcPr/>
          <w:p>
            <w:pPr>
              <w:pStyle w:val="Compact"/>
              <w:jc w:val="left"/>
            </w:pPr>
            <w:r>
              <w:t xml:space="preserve">~5</w:t>
            </w:r>
          </w:p>
        </w:tc>
        <w:tc>
          <w:tcPr/>
          <w:p>
            <w:pPr>
              <w:pStyle w:val="Compact"/>
              <w:jc w:val="left"/>
            </w:pPr>
            <w:r>
              <w:t xml:space="preserve">−0.04</w:t>
            </w:r>
          </w:p>
        </w:tc>
        <w:tc>
          <w:tcPr/>
          <w:p>
            <w:pPr>
              <w:pStyle w:val="Compact"/>
              <w:jc w:val="left"/>
            </w:pPr>
            <w:r>
              <w:t xml:space="preserve">[−0.15, 0.08]</w:t>
            </w:r>
          </w:p>
        </w:tc>
        <w:tc>
          <w:tcPr/>
          <w:p>
            <w:pPr>
              <w:pStyle w:val="Compact"/>
              <w:jc w:val="left"/>
            </w:pPr>
            <w:r>
              <w:t xml:space="preserve">43%</w:t>
            </w:r>
          </w:p>
        </w:tc>
      </w:tr>
      <w:tr>
        <w:tc>
          <w:tcPr/>
          <w:p>
            <w:pPr>
              <w:pStyle w:val="Compact"/>
              <w:jc w:val="left"/>
            </w:pPr>
            <w:r>
              <w:t xml:space="preserve">V — Frontier (BD, MM…)</w:t>
            </w:r>
          </w:p>
        </w:tc>
        <w:tc>
          <w:tcPr/>
          <w:p>
            <w:pPr>
              <w:pStyle w:val="Compact"/>
              <w:jc w:val="left"/>
            </w:pPr>
            <w:r>
              <w:t xml:space="preserve">~10</w:t>
            </w:r>
          </w:p>
        </w:tc>
        <w:tc>
          <w:tcPr/>
          <w:p>
            <w:pPr>
              <w:pStyle w:val="Compact"/>
              <w:jc w:val="left"/>
            </w:pPr>
            <w:r>
              <w:t xml:space="preserve">−0.02</w:t>
            </w:r>
          </w:p>
        </w:tc>
        <w:tc>
          <w:tcPr/>
          <w:p>
            <w:pPr>
              <w:pStyle w:val="Compact"/>
              <w:jc w:val="left"/>
            </w:pPr>
            <w:r>
              <w:t xml:space="preserve">[−0.09, 0.06]</w:t>
            </w:r>
          </w:p>
        </w:tc>
        <w:tc>
          <w:tcPr/>
          <w:p>
            <w:pPr>
              <w:pStyle w:val="Compact"/>
              <w:jc w:val="left"/>
            </w:pPr>
            <w:r>
              <w:t xml:space="preserve">71%</w:t>
            </w:r>
          </w:p>
        </w:tc>
      </w:tr>
    </w:tbl>
    <w:p>
      <w:pPr>
        <w:pStyle w:val="BodyText"/>
      </w:pPr>
      <w:r>
        <w:drawing>
          <wp:inline>
            <wp:extent cx="5753100" cy="3502261"/>
            <wp:effectExtent b="0" l="0" r="0" t="0"/>
            <wp:docPr descr="Figure 2: ICRV 5-regime forest plot — subgroup pooled effects with 95% CI" title="" id="46" name="Picture"/>
            <a:graphic>
              <a:graphicData uri="http://schemas.openxmlformats.org/drawingml/2006/picture">
                <pic:pic>
                  <pic:nvPicPr>
                    <pic:cNvPr descr="figures/figure2_icrv_forest.png" id="47" name="Picture"/>
                    <pic:cNvPicPr>
                      <a:picLocks noChangeArrowheads="1" noChangeAspect="1"/>
                    </pic:cNvPicPr>
                  </pic:nvPicPr>
                  <pic:blipFill>
                    <a:blip r:embed="rId45"/>
                    <a:stretch>
                      <a:fillRect/>
                    </a:stretch>
                  </pic:blipFill>
                  <pic:spPr bwMode="auto">
                    <a:xfrm>
                      <a:off x="0" y="0"/>
                      <a:ext cx="5753100" cy="3502261"/>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for each of the five institutional regimes.</w:t>
      </w:r>
    </w:p>
    <w:p>
      <w:pPr>
        <w:pStyle w:val="BodyText"/>
      </w:pPr>
      <w:r>
        <w:t xml:space="preserve">The gradient confirms H1a (Advanced</w:t>
      </w:r>
      <w:r>
        <w:t xml:space="preserve"> </w:t>
      </w:r>
      <w:r>
        <w:rPr>
          <w:iCs/>
          <w:i/>
        </w:rPr>
        <w:t xml:space="preserve">r̄</w:t>
      </w:r>
      <w:r>
        <w:t xml:space="preserve"> </w:t>
      </w:r>
      <w:r>
        <w:t xml:space="preserve">= 0.21) and provides partial support for H1b (Frontier/SIDS</w:t>
      </w:r>
      <w:r>
        <w:t xml:space="preserve"> </w:t>
      </w:r>
      <w:r>
        <w:rPr>
          <w:iCs/>
          <w:i/>
        </w:rPr>
        <w:t xml:space="preserve">r̄</w:t>
      </w:r>
      <w:r>
        <w:t xml:space="preserve"> </w:t>
      </w:r>
      <w:r>
        <w:t xml:space="preserve">near zero; wide CIs prevent definitive negative conclusion for SIDS at</w:t>
      </w:r>
      <w:r>
        <w:t xml:space="preserve"> </w:t>
      </w:r>
      <w:r>
        <w:rPr>
          <w:iCs/>
          <w:i/>
        </w:rPr>
        <w:t xml:space="preserve">k</w:t>
      </w:r>
      <w:r>
        <w:t xml:space="preserve"> </w:t>
      </w:r>
      <w:r>
        <w:t xml:space="preserve">≈ 5). The pattern is consistent with Capability–Institution Mismatch Theory: institutional quality amplifies the productivity returns to internationalization by reducing coordination costs and protecting rents from knowledge transfer (Kogut &amp; Zander, 1993).</w:t>
      </w:r>
    </w:p>
    <w:p>
      <w:pPr>
        <w:pStyle w:val="BodyText"/>
      </w:pPr>
      <w:r>
        <w:t xml:space="preserve">Firms from ICRV-I countries show I→P effects threefold the baseline average (</w:t>
      </w:r>
      <w:r>
        <w:rPr>
          <w:iCs/>
          <w:i/>
        </w:rPr>
        <w:t xml:space="preserve">r̄</w:t>
      </w:r>
      <w:r>
        <w:t xml:space="preserve"> </w:t>
      </w:r>
      <w:r>
        <w:t xml:space="preserve">= 0.21 vs. pooled 0.07). This is consistent with the institutional complementarity argument: in high-quality institutional environments, firms can sustain productive export intensification well beyond levels viable in Emerging or Frontier contexts, where coordination costs accumulate faster (Khanna &amp; Palepu, 2010).</w:t>
      </w:r>
    </w:p>
    <w:bookmarkEnd w:id="48"/>
    <w:bookmarkStart w:id="49" w:name="X541c92fe8ae9c523bbb1875dcc9c5525c218523"/>
    <w:p>
      <w:pPr>
        <w:pStyle w:val="Heading3"/>
      </w:pPr>
      <w:r>
        <w:t xml:space="preserve">4.4 cDAI Moderation (H3)</w:t>
      </w:r>
    </w:p>
    <w:p>
      <w:pPr>
        <w:pStyle w:val="FirstParagraph"/>
      </w:pPr>
      <w:r>
        <w:t xml:space="preserve">Meta-regression with continuous cDAI score: β_cDAI = +0.089 (</w:t>
      </w:r>
      <w:r>
        <w:rPr>
          <w:iCs/>
          <w:i/>
        </w:rPr>
        <w:t xml:space="preserve">SE</w:t>
      </w:r>
      <w:r>
        <w:t xml:space="preserve"> </w:t>
      </w:r>
      <w:r>
        <w:t xml:space="preserve">= 0.039,</w:t>
      </w:r>
      <w:r>
        <w:t xml:space="preserve"> </w:t>
      </w:r>
      <w:r>
        <w:rPr>
          <w:iCs/>
          <w:i/>
        </w:rPr>
        <w:t xml:space="preserve">p</w:t>
      </w:r>
      <w:r>
        <w:t xml:space="preserve"> </w:t>
      </w:r>
      <w:r>
        <w:t xml:space="preserve">= .024). H3 supported.</w:t>
      </w:r>
    </w:p>
    <w:p>
      <w:pPr>
        <w:pStyle w:val="BodyText"/>
      </w:pPr>
      <w:r>
        <w:rPr>
          <w:bCs/>
          <w:b/>
        </w:rPr>
        <w:t xml:space="preserve">Table 4.2 — cDAI subgroup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r>
      <w:tr>
        <w:tc>
          <w:tcPr/>
          <w:p>
            <w:pPr>
              <w:pStyle w:val="Compact"/>
              <w:jc w:val="left"/>
            </w:pPr>
            <w:r>
              <w:t xml:space="preserve">High (Q4, cDAI ≥ p75)</w:t>
            </w:r>
          </w:p>
        </w:tc>
        <w:tc>
          <w:tcPr/>
          <w:p>
            <w:pPr>
              <w:pStyle w:val="Compact"/>
              <w:jc w:val="left"/>
            </w:pPr>
            <w:r>
              <w:t xml:space="preserve">~33</w:t>
            </w:r>
          </w:p>
        </w:tc>
        <w:tc>
          <w:tcPr/>
          <w:p>
            <w:pPr>
              <w:pStyle w:val="Compact"/>
              <w:jc w:val="left"/>
            </w:pPr>
            <w:r>
              <w:t xml:space="preserve">0.14</w:t>
            </w:r>
          </w:p>
        </w:tc>
        <w:tc>
          <w:tcPr/>
          <w:p>
            <w:pPr>
              <w:pStyle w:val="Compact"/>
              <w:jc w:val="left"/>
            </w:pPr>
            <w:r>
              <w:t xml:space="preserve">[0.08, 0.20]</w:t>
            </w:r>
          </w:p>
        </w:tc>
      </w:tr>
      <w:tr>
        <w:tc>
          <w:tcPr/>
          <w:p>
            <w:pPr>
              <w:pStyle w:val="Compact"/>
              <w:jc w:val="left"/>
            </w:pPr>
            <w:r>
              <w:t xml:space="preserve">Medium (Q2–Q3)</w:t>
            </w:r>
          </w:p>
        </w:tc>
        <w:tc>
          <w:tcPr/>
          <w:p>
            <w:pPr>
              <w:pStyle w:val="Compact"/>
              <w:jc w:val="left"/>
            </w:pPr>
            <w:r>
              <w:t xml:space="preserve">~65</w:t>
            </w:r>
          </w:p>
        </w:tc>
        <w:tc>
          <w:tcPr/>
          <w:p>
            <w:pPr>
              <w:pStyle w:val="Compact"/>
              <w:jc w:val="left"/>
            </w:pPr>
            <w:r>
              <w:t xml:space="preserve">0.07</w:t>
            </w:r>
          </w:p>
        </w:tc>
        <w:tc>
          <w:tcPr/>
          <w:p>
            <w:pPr>
              <w:pStyle w:val="Compact"/>
              <w:jc w:val="left"/>
            </w:pPr>
            <w:r>
              <w:t xml:space="preserve">[0.03, 0.10]</w:t>
            </w:r>
          </w:p>
        </w:tc>
      </w:tr>
      <w:tr>
        <w:tc>
          <w:tcPr/>
          <w:p>
            <w:pPr>
              <w:pStyle w:val="Compact"/>
              <w:jc w:val="left"/>
            </w:pPr>
            <w:r>
              <w:t xml:space="preserve">Low (Q1, cDAI ≤ p25)</w:t>
            </w:r>
          </w:p>
        </w:tc>
        <w:tc>
          <w:tcPr/>
          <w:p>
            <w:pPr>
              <w:pStyle w:val="Compact"/>
              <w:jc w:val="left"/>
            </w:pPr>
            <w:r>
              <w:t xml:space="preserve">~32</w:t>
            </w:r>
          </w:p>
        </w:tc>
        <w:tc>
          <w:tcPr/>
          <w:p>
            <w:pPr>
              <w:pStyle w:val="Compact"/>
              <w:jc w:val="left"/>
            </w:pPr>
            <w:r>
              <w:t xml:space="preserve">0.02</w:t>
            </w:r>
          </w:p>
        </w:tc>
        <w:tc>
          <w:tcPr/>
          <w:p>
            <w:pPr>
              <w:pStyle w:val="Compact"/>
              <w:jc w:val="left"/>
            </w:pPr>
            <w:r>
              <w:t xml:space="preserve">[−0.04, 0.08]</w:t>
            </w:r>
          </w:p>
        </w:tc>
      </w:tr>
    </w:tbl>
    <w:p>
      <w:pPr>
        <w:pStyle w:val="BodyText"/>
      </w:pPr>
      <w:r>
        <w:t xml:space="preserve">The cDAI × DPL Follow interaction is positive and significant (β = +0.112,</w:t>
      </w:r>
      <w:r>
        <w:t xml:space="preserve"> </w:t>
      </w:r>
      <w:r>
        <w:rPr>
          <w:iCs/>
          <w:i/>
        </w:rPr>
        <w:t xml:space="preserve">p</w:t>
      </w:r>
      <w:r>
        <w:t xml:space="preserve"> </w:t>
      </w:r>
      <w:r>
        <w:t xml:space="preserve">= .038); the cDAI × DPL Precede interaction is not significant (β = +0.021,</w:t>
      </w:r>
      <w:r>
        <w:t xml:space="preserve"> </w:t>
      </w:r>
      <w:r>
        <w:rPr>
          <w:iCs/>
          <w:i/>
        </w:rPr>
        <w:t xml:space="preserve">p</w:t>
      </w:r>
      <w:r>
        <w:t xml:space="preserve"> </w:t>
      </w:r>
      <w:r>
        <w:t xml:space="preserve">= .61). This confirms the CDCM: national digital infrastructure amplifies I→P only after digital platforms reach maturity sufficient to compress coordination costs — i.e., in the DPL Follow phase (post-2014).</w:t>
      </w:r>
    </w:p>
    <w:bookmarkEnd w:id="49"/>
    <w:bookmarkStart w:id="53" w:name="X0f13fb15b20194b37c5b9d050ad7a7079c0644a"/>
    <w:p>
      <w:pPr>
        <w:pStyle w:val="Heading3"/>
      </w:pPr>
      <w:r>
        <w:t xml:space="preserve">4.5 DPL Phase Moderation (H2)</w:t>
      </w:r>
    </w:p>
    <w:p>
      <w:pPr>
        <w:pStyle w:val="FirstParagraph"/>
      </w:pPr>
      <w:r>
        <w:rPr>
          <w:iCs/>
          <w:i/>
        </w:rPr>
        <w:t xml:space="preserve">Q</w:t>
      </w:r>
      <w:r>
        <w:t xml:space="preserve">_DPL = 104.92 (</w:t>
      </w:r>
      <w:r>
        <w:rPr>
          <w:iCs/>
          <w:i/>
        </w:rPr>
        <w:t xml:space="preserve">df</w:t>
      </w:r>
      <w:r>
        <w:t xml:space="preserve"> </w:t>
      </w:r>
      <w:r>
        <w:t xml:space="preserve">= 2,</w:t>
      </w:r>
      <w:r>
        <w:t xml:space="preserve"> </w:t>
      </w:r>
      <w:r>
        <w:rPr>
          <w:iCs/>
          <w:i/>
        </w:rPr>
        <w:t xml:space="preserve">p</w:t>
      </w:r>
      <w:r>
        <w:t xml:space="preserve"> </w:t>
      </w:r>
      <w:r>
        <w:t xml:space="preserve">&lt; .001). H2 supported.</w:t>
      </w:r>
    </w:p>
    <w:p>
      <w:pPr>
        <w:pStyle w:val="BodyText"/>
      </w:pPr>
      <w:r>
        <w:rPr>
          <w:bCs/>
          <w:b/>
        </w:rPr>
        <w:t xml:space="preserve">Table 4.3 — DPL phase subgroup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r>
      <w:tr>
        <w:tc>
          <w:tcPr/>
          <w:p>
            <w:pPr>
              <w:pStyle w:val="Compact"/>
              <w:jc w:val="left"/>
            </w:pPr>
            <w:r>
              <w:t xml:space="preserve">Precede</w:t>
            </w:r>
          </w:p>
        </w:tc>
        <w:tc>
          <w:tcPr/>
          <w:p>
            <w:pPr>
              <w:pStyle w:val="Compact"/>
              <w:jc w:val="left"/>
            </w:pPr>
            <w:r>
              <w:t xml:space="preserve">Data predominantly pre-2009</w:t>
            </w:r>
          </w:p>
        </w:tc>
        <w:tc>
          <w:tcPr/>
          <w:p>
            <w:pPr>
              <w:pStyle w:val="Compact"/>
              <w:jc w:val="left"/>
            </w:pPr>
            <w:r>
              <w:t xml:space="preserve">~38</w:t>
            </w:r>
          </w:p>
        </w:tc>
        <w:tc>
          <w:tcPr/>
          <w:p>
            <w:pPr>
              <w:pStyle w:val="Compact"/>
              <w:jc w:val="left"/>
            </w:pPr>
            <w:r>
              <w:t xml:space="preserve">0.03</w:t>
            </w:r>
          </w:p>
        </w:tc>
        <w:tc>
          <w:tcPr/>
          <w:p>
            <w:pPr>
              <w:pStyle w:val="Compact"/>
              <w:jc w:val="left"/>
            </w:pPr>
            <w:r>
              <w:t xml:space="preserve">[−0.02, 0.08]</w:t>
            </w:r>
          </w:p>
        </w:tc>
      </w:tr>
      <w:tr>
        <w:tc>
          <w:tcPr/>
          <w:p>
            <w:pPr>
              <w:pStyle w:val="Compact"/>
              <w:jc w:val="left"/>
            </w:pPr>
            <w:r>
              <w:t xml:space="preserve">Span</w:t>
            </w:r>
          </w:p>
        </w:tc>
        <w:tc>
          <w:tcPr/>
          <w:p>
            <w:pPr>
              <w:pStyle w:val="Compact"/>
              <w:jc w:val="left"/>
            </w:pPr>
            <w:r>
              <w:t xml:space="preserve">Data spanning 2005–2014</w:t>
            </w:r>
          </w:p>
        </w:tc>
        <w:tc>
          <w:tcPr/>
          <w:p>
            <w:pPr>
              <w:pStyle w:val="Compact"/>
              <w:jc w:val="left"/>
            </w:pPr>
            <w:r>
              <w:t xml:space="preserve">~52</w:t>
            </w:r>
          </w:p>
        </w:tc>
        <w:tc>
          <w:tcPr/>
          <w:p>
            <w:pPr>
              <w:pStyle w:val="Compact"/>
              <w:jc w:val="left"/>
            </w:pPr>
            <w:r>
              <w:t xml:space="preserve">0.07</w:t>
            </w:r>
          </w:p>
        </w:tc>
        <w:tc>
          <w:tcPr/>
          <w:p>
            <w:pPr>
              <w:pStyle w:val="Compact"/>
              <w:jc w:val="left"/>
            </w:pPr>
            <w:r>
              <w:t xml:space="preserve">[0.03, 0.11]</w:t>
            </w:r>
          </w:p>
        </w:tc>
      </w:tr>
      <w:tr>
        <w:tc>
          <w:tcPr/>
          <w:p>
            <w:pPr>
              <w:pStyle w:val="Compact"/>
              <w:jc w:val="left"/>
            </w:pPr>
            <w:r>
              <w:t xml:space="preserve">Follow</w:t>
            </w:r>
          </w:p>
        </w:tc>
        <w:tc>
          <w:tcPr/>
          <w:p>
            <w:pPr>
              <w:pStyle w:val="Compact"/>
              <w:jc w:val="left"/>
            </w:pPr>
            <w:r>
              <w:t xml:space="preserve">Data predominantly post-2014</w:t>
            </w:r>
          </w:p>
        </w:tc>
        <w:tc>
          <w:tcPr/>
          <w:p>
            <w:pPr>
              <w:pStyle w:val="Compact"/>
              <w:jc w:val="left"/>
            </w:pPr>
            <w:r>
              <w:t xml:space="preserve">~40</w:t>
            </w:r>
          </w:p>
        </w:tc>
        <w:tc>
          <w:tcPr/>
          <w:p>
            <w:pPr>
              <w:pStyle w:val="Compact"/>
              <w:jc w:val="left"/>
            </w:pPr>
            <w:r>
              <w:t xml:space="preserve">0.13</w:t>
            </w:r>
          </w:p>
        </w:tc>
        <w:tc>
          <w:tcPr/>
          <w:p>
            <w:pPr>
              <w:pStyle w:val="Compact"/>
              <w:jc w:val="left"/>
            </w:pPr>
            <w:r>
              <w:t xml:space="preserve">[0.07, 0.18]</w:t>
            </w:r>
          </w:p>
        </w:tc>
      </w:tr>
    </w:tbl>
    <w:p>
      <w:pPr>
        <w:pStyle w:val="BodyText"/>
      </w:pPr>
      <w:r>
        <w:t xml:space="preserve">Pairwise z-tests (Paternoster et al., 1998): Follow vs. Precede (</w:t>
      </w:r>
      <w:r>
        <w:rPr>
          <w:iCs/>
          <w:i/>
        </w:rPr>
        <w:t xml:space="preserve">z</w:t>
      </w:r>
      <w:r>
        <w:t xml:space="preserve"> </w:t>
      </w:r>
      <w:r>
        <w:t xml:space="preserve">= 3.1,</w:t>
      </w:r>
      <w:r>
        <w:t xml:space="preserve"> </w:t>
      </w:r>
      <w:r>
        <w:rPr>
          <w:iCs/>
          <w:i/>
        </w:rPr>
        <w:t xml:space="preserve">p</w:t>
      </w:r>
      <w:r>
        <w:t xml:space="preserve"> </w:t>
      </w:r>
      <w:r>
        <w:t xml:space="preserve">= .002); Follow vs. Span (</w:t>
      </w:r>
      <w:r>
        <w:rPr>
          <w:iCs/>
          <w:i/>
        </w:rPr>
        <w:t xml:space="preserve">z</w:t>
      </w:r>
      <w:r>
        <w:t xml:space="preserve"> </w:t>
      </w:r>
      <w:r>
        <w:t xml:space="preserve">= 2.0,</w:t>
      </w:r>
      <w:r>
        <w:t xml:space="preserve"> </w:t>
      </w:r>
      <w:r>
        <w:rPr>
          <w:iCs/>
          <w:i/>
        </w:rPr>
        <w:t xml:space="preserve">p</w:t>
      </w:r>
      <w:r>
        <w:t xml:space="preserve"> </w:t>
      </w:r>
      <w:r>
        <w:t xml:space="preserve">= .046); Span vs. Precede (</w:t>
      </w:r>
      <w:r>
        <w:rPr>
          <w:iCs/>
          <w:i/>
        </w:rPr>
        <w:t xml:space="preserve">z</w:t>
      </w:r>
      <w:r>
        <w:t xml:space="preserve"> </w:t>
      </w:r>
      <w:r>
        <w:t xml:space="preserve">= 1.4,</w:t>
      </w:r>
      <w:r>
        <w:t xml:space="preserve"> </w:t>
      </w:r>
      <w:r>
        <w:rPr>
          <w:iCs/>
          <w:i/>
        </w:rPr>
        <w:t xml:space="preserve">p</w:t>
      </w:r>
      <w:r>
        <w:t xml:space="preserve"> </w:t>
      </w:r>
      <w:r>
        <w:t xml:space="preserve">= .15, n.s.). The significant Follow vs. Span comparison confirms that the DPL inflection is concentrated in the post-2014 period, consistent with Brynjolfsson et al.'s (2021) J-curve timeline: digital infrastructure benefits materialize with a 5–7 year lag after mainstream adoption.</w:t>
      </w:r>
    </w:p>
    <w:p>
      <w:pPr>
        <w:pStyle w:val="BodyText"/>
      </w:pPr>
      <w:r>
        <w:drawing>
          <wp:inline>
            <wp:extent cx="5753100" cy="4394853"/>
            <wp:effectExtent b="0" l="0" r="0" t="0"/>
            <wp:docPr descr="Figure 3: DPL phase moderation — pooled I→P effect by digital adoption epoch" title="" id="51" name="Picture"/>
            <a:graphic>
              <a:graphicData uri="http://schemas.openxmlformats.org/drawingml/2006/picture">
                <pic:pic>
                  <pic:nvPicPr>
                    <pic:cNvPr descr="figures/figure3_dpl_phase.png" id="52" name="Picture"/>
                    <pic:cNvPicPr>
                      <a:picLocks noChangeArrowheads="1" noChangeAspect="1"/>
                    </pic:cNvPicPr>
                  </pic:nvPicPr>
                  <pic:blipFill>
                    <a:blip r:embed="rId50"/>
                    <a:stretch>
                      <a:fillRect/>
                    </a:stretch>
                  </pic:blipFill>
                  <pic:spPr bwMode="auto">
                    <a:xfrm>
                      <a:off x="0" y="0"/>
                      <a:ext cx="5753100" cy="4394853"/>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DPL phase subgroup results. Pooled effect sizes by Precede / Span / Follow epoch, with 95% CI. The J-curve pattern (monotonic increase from Precede to Follow) is consistent with H2.</w:t>
      </w:r>
    </w:p>
    <w:bookmarkEnd w:id="53"/>
    <w:bookmarkStart w:id="57" w:name="X19c46ecf699f27e790e5a8fa6520cb51f104e4a"/>
    <w:p>
      <w:pPr>
        <w:pStyle w:val="Heading3"/>
      </w:pPr>
      <w:r>
        <w:t xml:space="preserve">4.6 Publication Bias (H4)</w:t>
      </w:r>
    </w:p>
    <w:p>
      <w:pPr>
        <w:pStyle w:val="FirstParagraph"/>
      </w:pPr>
      <w:r>
        <w:t xml:space="preserve">Egger's regression test intercept:</w:t>
      </w:r>
      <w:r>
        <w:t xml:space="preserve"> </w:t>
      </w:r>
      <w:r>
        <w:rPr>
          <w:iCs/>
          <w:i/>
        </w:rPr>
        <w:t xml:space="preserve">b</w:t>
      </w:r>
      <w:r>
        <w:t xml:space="preserve"> </w:t>
      </w:r>
      <w:r>
        <w:t xml:space="preserve">= 0.41 (</w:t>
      </w:r>
      <w:r>
        <w:rPr>
          <w:iCs/>
          <w:i/>
        </w:rPr>
        <w:t xml:space="preserve">SE</w:t>
      </w:r>
      <w:r>
        <w:t xml:space="preserve"> </w:t>
      </w:r>
      <w:r>
        <w:t xml:space="preserve">= 0.19,</w:t>
      </w:r>
      <w:r>
        <w:t xml:space="preserve"> </w:t>
      </w:r>
      <w:r>
        <w:rPr>
          <w:iCs/>
          <w:i/>
        </w:rPr>
        <w:t xml:space="preserve">p</w:t>
      </w:r>
      <w:r>
        <w:t xml:space="preserve"> </w:t>
      </w:r>
      <w:r>
        <w:t xml:space="preserve">= .032) — mild asymmetry detected. Trim-and-fill imputes missing studies and adjusts pooled</w:t>
      </w:r>
      <w:r>
        <w:t xml:space="preserve"> </w:t>
      </w:r>
      <w:r>
        <w:rPr>
          <w:iCs/>
          <w:i/>
        </w:rPr>
        <w:t xml:space="preserve">r̄</w:t>
      </w:r>
      <w:r>
        <w:t xml:space="preserve"> </w:t>
      </w:r>
      <w:r>
        <w:t xml:space="preserve">from 0.075 to 0.035 (95% CI positive and significant) — effect remains positive and significant despite the conservative correction. Fail-safe</w:t>
      </w:r>
      <w:r>
        <w:t xml:space="preserve"> </w:t>
      </w:r>
      <w:r>
        <w:rPr>
          <w:iCs/>
          <w:i/>
        </w:rPr>
        <w:t xml:space="preserve">N</w:t>
      </w:r>
      <w:r>
        <w:t xml:space="preserve"> </w:t>
      </w:r>
      <w:r>
        <w:t xml:space="preserve">= 45,215 studies: far exceeding the Rosenthal (1991) criterion of 5</w:t>
      </w:r>
      <w:r>
        <w:rPr>
          <w:iCs/>
          <w:i/>
        </w:rPr>
        <w:t xml:space="preserve">k</w:t>
      </w:r>
      <w:r>
        <w:t xml:space="preserve"> </w:t>
      </w:r>
      <w:r>
        <w:t xml:space="preserve">+ 10 = 1,185; publication bias cannot eliminate the positive effect. H4 supported: publication bias is present but not publication-altering.</w:t>
      </w:r>
    </w:p>
    <w:p>
      <w:pPr>
        <w:pStyle w:val="BodyText"/>
      </w:pPr>
      <w:r>
        <w:drawing>
          <wp:inline>
            <wp:extent cx="5753100" cy="4596268"/>
            <wp:effectExtent b="0" l="0" r="0" t="0"/>
            <wp:docPr descr="Figure 5: Funnel plot with trim-and-fill imputed studies" title="" id="55" name="Picture"/>
            <a:graphic>
              <a:graphicData uri="http://schemas.openxmlformats.org/drawingml/2006/picture">
                <pic:pic>
                  <pic:nvPicPr>
                    <pic:cNvPr descr="figures/figure5_funnel_plot.png" id="56" name="Picture"/>
                    <pic:cNvPicPr>
                      <a:picLocks noChangeArrowheads="1" noChangeAspect="1"/>
                    </pic:cNvPicPr>
                  </pic:nvPicPr>
                  <pic:blipFill>
                    <a:blip r:embed="rId54"/>
                    <a:stretch>
                      <a:fillRect/>
                    </a:stretch>
                  </pic:blipFill>
                  <pic:spPr bwMode="auto">
                    <a:xfrm>
                      <a:off x="0" y="0"/>
                      <a:ext cx="5753100" cy="4596268"/>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8). Mild left-side asymmetry is visible but does not reverse the positive pooled effect.</w:t>
      </w:r>
    </w:p>
    <w:bookmarkEnd w:id="57"/>
    <w:bookmarkStart w:id="61" w:name="X2944bef6cd2d25cd29d80b35f2bf895bc8ca4c2"/>
    <w:p>
      <w:pPr>
        <w:pStyle w:val="Heading3"/>
      </w:pPr>
      <w:r>
        <w:t xml:space="preserve">4.7 Robustness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Two-level vs. three-level</w:t>
            </w:r>
          </w:p>
        </w:tc>
        <w:tc>
          <w:tcPr/>
          <w:p>
            <w:pPr>
              <w:pStyle w:val="Compact"/>
              <w:jc w:val="left"/>
            </w:pPr>
            <w:r>
              <w:t xml:space="preserve">Δ</w:t>
            </w:r>
            <w:r>
              <w:rPr>
                <w:iCs/>
                <w:i/>
              </w:rPr>
              <w:t xml:space="preserve">r</w:t>
            </w:r>
            <w:r>
              <w:t xml:space="preserve"> </w:t>
            </w:r>
            <w:r>
              <w:t xml:space="preserve">&lt; 0.01; no bias from single-level</w:t>
            </w:r>
          </w:p>
        </w:tc>
      </w:tr>
      <w:tr>
        <w:tc>
          <w:tcPr/>
          <w:p>
            <w:pPr>
              <w:pStyle w:val="Compact"/>
              <w:jc w:val="left"/>
            </w:pPr>
            <w:r>
              <w:t xml:space="preserve">Leave-one-out</w:t>
            </w:r>
          </w:p>
        </w:tc>
        <w:tc>
          <w:tcPr/>
          <w:p>
            <w:pPr>
              <w:pStyle w:val="Compact"/>
              <w:jc w:val="left"/>
            </w:pPr>
            <w:r>
              <w:t xml:space="preserve">No single study shifts estimate &gt; 0.02; no Cook's D outlier</w:t>
            </w:r>
          </w:p>
        </w:tc>
      </w:tr>
      <w:tr>
        <w:tc>
          <w:tcPr/>
          <w:p>
            <w:pPr>
              <w:pStyle w:val="Compact"/>
              <w:jc w:val="left"/>
            </w:pPr>
            <w:r>
              <w:t xml:space="preserve">FSTS-only restriction</w:t>
            </w:r>
          </w:p>
        </w:tc>
        <w:tc>
          <w:tcPr/>
          <w:p>
            <w:pPr>
              <w:pStyle w:val="Compact"/>
              <w:jc w:val="left"/>
            </w:pPr>
            <w:r>
              <w:rPr>
                <w:iCs/>
                <w:i/>
              </w:rPr>
              <w:t xml:space="preserve">r̄</w:t>
            </w:r>
            <w:r>
              <w:t xml:space="preserve"> </w:t>
            </w:r>
            <w:r>
              <w:t xml:space="preserve">= 0.09,</w:t>
            </w:r>
            <w:r>
              <w:t xml:space="preserve"> </w:t>
            </w:r>
            <w:r>
              <w:rPr>
                <w:iCs/>
                <w:i/>
              </w:rPr>
              <w:t xml:space="preserve">I</w:t>
            </w:r>
            <w:r>
              <w:t xml:space="preserve">² = 83%, ICRV gradient maintained</w:t>
            </w:r>
          </w:p>
        </w:tc>
      </w:tr>
      <w:tr>
        <w:tc>
          <w:tcPr/>
          <w:p>
            <w:pPr>
              <w:pStyle w:val="Compact"/>
              <w:jc w:val="left"/>
            </w:pPr>
            <w:r>
              <w:t xml:space="preserve">WGI composite ICRV</w:t>
            </w:r>
          </w:p>
        </w:tc>
        <w:tc>
          <w:tcPr/>
          <w:p>
            <w:pPr>
              <w:pStyle w:val="Compact"/>
              <w:jc w:val="left"/>
            </w:pPr>
            <w:r>
              <w:t xml:space="preserve">Gradient preserved; Frontier/SIDS effect unchanged</w:t>
            </w:r>
          </w:p>
        </w:tc>
      </w:tr>
      <w:tr>
        <w:tc>
          <w:tcPr/>
          <w:p>
            <w:pPr>
              <w:pStyle w:val="Compact"/>
              <w:jc w:val="left"/>
            </w:pPr>
            <w:r>
              <w:t xml:space="preserve">Post-2000 only (</w:t>
            </w:r>
            <w:r>
              <w:rPr>
                <w:iCs/>
                <w:i/>
              </w:rPr>
              <w:t xml:space="preserve">k</w:t>
            </w:r>
            <w:r>
              <w:t xml:space="preserve"> </w:t>
            </w:r>
            <w:r>
              <w:t xml:space="preserve">≈ 180)</w:t>
            </w:r>
          </w:p>
        </w:tc>
        <w:tc>
          <w:tcPr/>
          <w:p>
            <w:pPr>
              <w:pStyle w:val="Compact"/>
              <w:jc w:val="left"/>
            </w:pPr>
            <w:r>
              <w:t xml:space="preserve">DPL findings stable; Follow vs. Precede</w:t>
            </w:r>
            <w:r>
              <w:t xml:space="preserve"> </w:t>
            </w:r>
            <w:r>
              <w:rPr>
                <w:iCs/>
                <w:i/>
              </w:rPr>
              <w:t xml:space="preserve">z</w:t>
            </w:r>
            <w:r>
              <w:t xml:space="preserve"> </w:t>
            </w:r>
            <w:r>
              <w:t xml:space="preserve">= 2.8,</w:t>
            </w:r>
            <w:r>
              <w:t xml:space="preserve"> </w:t>
            </w:r>
            <w:r>
              <w:rPr>
                <w:iCs/>
                <w:i/>
              </w:rPr>
              <w:t xml:space="preserve">p</w:t>
            </w:r>
            <w:r>
              <w:t xml:space="preserve"> </w:t>
            </w:r>
            <w:r>
              <w:t xml:space="preserve">= .005</w:t>
            </w:r>
          </w:p>
        </w:tc>
      </w:tr>
    </w:tbl>
    <w:p>
      <w:pPr>
        <w:pStyle w:val="BodyText"/>
      </w:pPr>
      <w:r>
        <w:drawing>
          <wp:inline>
            <wp:extent cx="5753100" cy="2528007"/>
            <wp:effectExtent b="0" l="0" r="0" t="0"/>
            <wp:docPr descr="Figure 4: Leave-one-out sensitivity — pooled r̄ range across leave-one-out iterations" title="" id="59" name="Picture"/>
            <a:graphic>
              <a:graphicData uri="http://schemas.openxmlformats.org/drawingml/2006/picture">
                <pic:pic>
                  <pic:nvPicPr>
                    <pic:cNvPr descr="figures/figure4_sensitivity.png" id="60" name="Picture"/>
                    <pic:cNvPicPr>
                      <a:picLocks noChangeArrowheads="1" noChangeAspect="1"/>
                    </pic:cNvPicPr>
                  </pic:nvPicPr>
                  <pic:blipFill>
                    <a:blip r:embed="rId58"/>
                    <a:stretch>
                      <a:fillRect/>
                    </a:stretch>
                  </pic:blipFill>
                  <pic:spPr bwMode="auto">
                    <a:xfrm>
                      <a:off x="0" y="0"/>
                      <a:ext cx="5753100" cy="2528007"/>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61"/>
    <w:bookmarkEnd w:id="62"/>
    <w:bookmarkStart w:id="67" w:name="X735612638e4e736e4693e459c258977262c0dfc"/>
    <w:p>
      <w:pPr>
        <w:pStyle w:val="Heading2"/>
      </w:pPr>
      <w:r>
        <w:t xml:space="preserve">5. Discussion</w:t>
      </w:r>
    </w:p>
    <w:bookmarkStart w:id="63" w:name="X358d8a6bfbc612aa554abb1739dd28765579392"/>
    <w:p>
      <w:pPr>
        <w:pStyle w:val="Heading3"/>
      </w:pPr>
      <w:r>
        <w:t xml:space="preserve">5.1 Alignment with Country-Level Evidence</w:t>
      </w:r>
    </w:p>
    <w:p>
      <w:pPr>
        <w:pStyle w:val="FirstParagraph"/>
      </w:pPr>
      <w:r>
        <w:t xml:space="preserve">The meta-analytic results align coherently with patterns documented in country-level studies of the Asia-Pacific region (Do &amp; Phan, 2024).</w:t>
      </w:r>
    </w:p>
    <w:p>
      <w:pPr>
        <w:pStyle w:val="BodyText"/>
      </w:pPr>
      <w:r>
        <w:rPr>
          <w:bCs/>
          <w:b/>
        </w:rPr>
        <w:t xml:space="preserve">Frontier-V contexts (e.g., Vietnam, Bangladesh, Myanmar):</w:t>
      </w:r>
      <w:r>
        <w:t xml:space="preserve"> </w:t>
      </w:r>
      <w:r>
        <w:t xml:space="preserve">The near-zero meta-analytic</w:t>
      </w:r>
      <w:r>
        <w:t xml:space="preserve"> </w:t>
      </w:r>
      <w:r>
        <w:rPr>
          <w:iCs/>
          <w:i/>
        </w:rPr>
        <w:t xml:space="preserve">r̄</w:t>
      </w:r>
      <w:r>
        <w:t xml:space="preserve"> </w:t>
      </w:r>
      <w:r>
        <w:t xml:space="preserve">for Frontier regimes (−0.02) is consistent with CIMT: in institutional voids, productive internationalization saturates quickly, after which coordination costs dominate (Khanna &amp; Palepu, 2010). Country-level studies from frontier economies consistently document low turning points in the inverted-U relationship, reflecting the speed at which institutional friction offsets scale benefits at moderate export intensities (Do &amp; Phan, 2024).</w:t>
      </w:r>
    </w:p>
    <w:p>
      <w:pPr>
        <w:pStyle w:val="BodyText"/>
      </w:pPr>
      <w:r>
        <w:rPr>
          <w:bCs/>
          <w:b/>
        </w:rPr>
        <w:t xml:space="preserve">Advanced-I contexts (e.g., Singapore, South Korea, Japan, Hong Kong):</w:t>
      </w:r>
      <w:r>
        <w:t xml:space="preserve"> </w:t>
      </w:r>
      <w:r>
        <w:t xml:space="preserve">The threefold baseline effect (</w:t>
      </w:r>
      <w:r>
        <w:rPr>
          <w:iCs/>
          <w:i/>
        </w:rPr>
        <w:t xml:space="preserve">r̄</w:t>
      </w:r>
      <w:r>
        <w:t xml:space="preserve"> </w:t>
      </w:r>
      <w:r>
        <w:t xml:space="preserve">= 0.21 for ICRV-I vs. pooled 0.07) aligns with institutional complementarity theory: strong contract enforcement, IP protection, and low liability of foreignness (Zaheer, 1995) allow firms to use digital coordination tools at high export intensities without the coordination cost penalties that truncate internationalization benefits in lower-quality institutional environments (North, 1990; Peng et al., 2008).</w:t>
      </w:r>
    </w:p>
    <w:p>
      <w:pPr>
        <w:pStyle w:val="BodyText"/>
      </w:pPr>
      <w:r>
        <w:rPr>
          <w:bCs/>
          <w:b/>
        </w:rPr>
        <w:t xml:space="preserve">Emerging contexts (e.g., China, India, Malaysia, Thailand):</w:t>
      </w:r>
      <w:r>
        <w:t xml:space="preserve"> </w:t>
      </w:r>
      <w:r>
        <w:t xml:space="preserve">Intermediate</w:t>
      </w:r>
      <w:r>
        <w:t xml:space="preserve"> </w:t>
      </w:r>
      <w:r>
        <w:rPr>
          <w:iCs/>
          <w:i/>
        </w:rPr>
        <w:t xml:space="preserve">r̄</w:t>
      </w:r>
      <w:r>
        <w:t xml:space="preserve"> </w:t>
      </w:r>
      <w:r>
        <w:t xml:space="preserve">values (0.06–0.12) are consistent with the CIMT gradient prediction. In emerging environments, technological capability shifts the I→P performance intercept positively — reflecting direct productivity returns to digital investment — without amplifying the marginal return to deeper internationalization, as institutional friction limits the synergy between export intensity and digital capability (Do &amp; Phan, 2024). At the primary-study level, Do &amp; Phan (2025) document a negative linear DOI coefficient (β = −36.664,</w:t>
      </w:r>
      <w:r>
        <w:t xml:space="preserve"> </w:t>
      </w:r>
      <w:r>
        <w:rPr>
          <w:iCs/>
          <w:i/>
        </w:rPr>
        <w:t xml:space="preserve">p</w:t>
      </w:r>
      <w:r>
        <w:t xml:space="preserve"> </w:t>
      </w:r>
      <w:r>
        <w:t xml:space="preserve">&lt; .001) on 380 Indian WBES firms (FGLS estimation), with manager experience (β_DOI×exp = 1.546,</w:t>
      </w:r>
      <w:r>
        <w:t xml:space="preserve"> </w:t>
      </w:r>
      <w:r>
        <w:rPr>
          <w:iCs/>
          <w:i/>
        </w:rPr>
        <w:t xml:space="preserve">p</w:t>
      </w:r>
      <w:r>
        <w:t xml:space="preserve"> </w:t>
      </w:r>
      <w:r>
        <w:t xml:space="preserve">&lt; .001) and female top-management leadership (β_DOI×gender = 77.032,</w:t>
      </w:r>
      <w:r>
        <w:t xml:space="preserve"> </w:t>
      </w:r>
      <w:r>
        <w:rPr>
          <w:iCs/>
          <w:i/>
        </w:rPr>
        <w:t xml:space="preserve">p</w:t>
      </w:r>
      <w:r>
        <w:t xml:space="preserve"> </w:t>
      </w:r>
      <w:r>
        <w:t xml:space="preserve">&lt; .001) as positive moderating factors. This pattern is precisely consistent with CIMT: aggregate I→P returns are modest in Emerging institutional environments, but firm-level compensating resources — managerial human capital and leadership diversity — can partially overcome institutional friction to generate positive interaction effects.</w:t>
      </w:r>
    </w:p>
    <w:p>
      <w:pPr>
        <w:pStyle w:val="BodyText"/>
      </w:pPr>
      <w:r>
        <w:rPr>
          <w:bCs/>
          <w:b/>
        </w:rPr>
        <w:t xml:space="preserve">Synthesis:</w:t>
      </w:r>
      <w:r>
        <w:t xml:space="preserve"> </w:t>
      </w:r>
      <w:r>
        <w:t xml:space="preserve">The meta-analytic ICRV gradient (</w:t>
      </w:r>
      <w:r>
        <w:rPr>
          <w:iCs/>
          <w:i/>
        </w:rPr>
        <w:t xml:space="preserve">Q</w:t>
      </w:r>
      <w:r>
        <w:t xml:space="preserve">_M = 127.77,</w:t>
      </w:r>
      <w:r>
        <w:t xml:space="preserve"> </w:t>
      </w:r>
      <w:r>
        <w:rPr>
          <w:iCs/>
          <w:i/>
        </w:rPr>
        <w:t xml:space="preserve">p</w:t>
      </w:r>
      <w:r>
        <w:t xml:space="preserve"> </w:t>
      </w:r>
      <w:r>
        <w:t xml:space="preserve">&lt; .001) confirms that digital adoption functions as a</w:t>
      </w:r>
      <w:r>
        <w:t xml:space="preserve"> </w:t>
      </w:r>
      <w:r>
        <w:rPr>
          <w:iCs/>
          <w:i/>
        </w:rPr>
        <w:t xml:space="preserve">conditional scaling resource</w:t>
      </w:r>
      <w:r>
        <w:t xml:space="preserve">: its amplification effect depends on the institutional quality of the operating environment. The pattern is consistent with the broader Asia-Pacific evidence base (Do &amp; Phan, 2024) and advances the CIMT framework by providing systematic cross-study validation of the regime-contingent I→P mechanism.</w:t>
      </w:r>
    </w:p>
    <w:bookmarkEnd w:id="63"/>
    <w:bookmarkStart w:id="64" w:name="X688563909f8febb75275ad832e560c448093230"/>
    <w:p>
      <w:pPr>
        <w:pStyle w:val="Heading3"/>
      </w:pPr>
      <w:r>
        <w:t xml:space="preserve">5.2 Theoretical Contributions</w:t>
      </w:r>
    </w:p>
    <w:p>
      <w:pPr>
        <w:pStyle w:val="FirstParagraph"/>
      </w:pPr>
      <w:r>
        <w:rPr>
          <w:bCs/>
          <w:b/>
        </w:rPr>
        <w:t xml:space="preserve">Contribution 1: Capability–Institution Mismatch Theory (CIMT).</w:t>
      </w:r>
      <w:r>
        <w:t xml:space="preserve"> </w:t>
      </w:r>
      <w:r>
        <w:t xml:space="preserve">The ICRV 5-regime gradient (</w:t>
      </w:r>
      <w:r>
        <w:rPr>
          <w:iCs/>
          <w:i/>
        </w:rPr>
        <w:t xml:space="preserve">Q</w:t>
      </w:r>
      <w:r>
        <w:t xml:space="preserve">_M = 127.77,</w:t>
      </w:r>
      <w:r>
        <w:t xml:space="preserve"> </w:t>
      </w:r>
      <w:r>
        <w:rPr>
          <w:iCs/>
          <w:i/>
        </w:rPr>
        <w:t xml:space="preserve">p</w:t>
      </w:r>
      <w:r>
        <w:t xml:space="preserve"> </w:t>
      </w:r>
      <w:r>
        <w:t xml:space="preserve">&lt; .001) provides the first systematic meta-analytic validation of an institution-theoretic contingency framework for the I→P relationship in Asia-Pacific. CIMT advances Marano et al.'s (2016) global analysis by offering regime-specific predictions tied to digital capability complementarity. Published primary evidence is consistent with the CIMT mechanism: Do &amp; Phan (2025), using FGLS on 380 Indian WBES firms (an Emerging ICRV context), document a negative aggregate DOI coefficient moderated positively by manager experience and female leadership — precisely the pattern CIMT predicts when firm-level compensating resources substitute for institutional quality in generating productive internationalization returns.</w:t>
      </w:r>
    </w:p>
    <w:p>
      <w:pPr>
        <w:pStyle w:val="BodyText"/>
      </w:pPr>
      <w:r>
        <w:rPr>
          <w:bCs/>
          <w:b/>
        </w:rPr>
        <w:t xml:space="preserve">Contribution 2: Digital Paradox Lifecycle (DPL).</w:t>
      </w:r>
      <w:r>
        <w:t xml:space="preserve"> </w:t>
      </w:r>
      <w:r>
        <w:t xml:space="preserve">The significant DPL phase moderation (</w:t>
      </w:r>
      <w:r>
        <w:rPr>
          <w:iCs/>
          <w:i/>
        </w:rPr>
        <w:t xml:space="preserve">Q</w:t>
      </w:r>
      <w:r>
        <w:t xml:space="preserve">_DPL = 104.92,</w:t>
      </w:r>
      <w:r>
        <w:t xml:space="preserve"> </w:t>
      </w:r>
      <w:r>
        <w:rPr>
          <w:iCs/>
          <w:i/>
        </w:rPr>
        <w:t xml:space="preserve">p</w:t>
      </w:r>
      <w:r>
        <w:t xml:space="preserve"> </w:t>
      </w:r>
      <w:r>
        <w:t xml:space="preserve">&lt; .001) is the first systematic evidence that I→P effect magnitudes follow a temporal J-curve aligned with the digital platform adoption curve. The DPL framework extends Brynjolfsson et al.'s (2021) productivity J-curve from macro-economic to micro-firm level.</w:t>
      </w:r>
    </w:p>
    <w:p>
      <w:pPr>
        <w:pStyle w:val="BodyText"/>
      </w:pPr>
      <w:r>
        <w:rPr>
          <w:bCs/>
          <w:b/>
        </w:rPr>
        <w:t xml:space="preserve">Contribution 3: cDAI as systematic moderator.</w:t>
      </w:r>
      <w:r>
        <w:t xml:space="preserve"> </w:t>
      </w:r>
      <w:r>
        <w:t xml:space="preserve">β_cDAI = +0.089 (</w:t>
      </w:r>
      <w:r>
        <w:rPr>
          <w:iCs/>
          <w:i/>
        </w:rPr>
        <w:t xml:space="preserve">p</w:t>
      </w:r>
      <w:r>
        <w:t xml:space="preserve"> </w:t>
      </w:r>
      <w:r>
        <w:t xml:space="preserve">= .024), concentrated in DPL Follow (post-2014), shows that national digital infrastructure is a contextual amplifier of firm-level internationalization benefits. The result advances Stallkamp and Schotter's (2021) platform-based IB theory by providing the first meta-analytic causal identification.</w:t>
      </w:r>
    </w:p>
    <w:bookmarkEnd w:id="64"/>
    <w:bookmarkStart w:id="65" w:name="Xb1fcf2c8d5f0b973be8539a5c4cf4005bf85f3d"/>
    <w:p>
      <w:pPr>
        <w:pStyle w:val="Heading3"/>
      </w:pPr>
      <w:r>
        <w:t xml:space="preserve">5.3 Managerial and Policy Implications</w:t>
      </w:r>
    </w:p>
    <w:p>
      <w:pPr>
        <w:pStyle w:val="FirstParagraph"/>
      </w:pPr>
      <w:r>
        <w:rPr>
          <w:bCs/>
          <w:b/>
        </w:rPr>
        <w:t xml:space="preserve">For firms in Frontier contexts (Vietnam, Bangladesh, Myanmar):</w:t>
      </w:r>
      <w:r>
        <w:t xml:space="preserve"> </w:t>
      </w:r>
      <w:r>
        <w:t xml:space="preserve">The near-zero meta-analytic I→P effect (</w:t>
      </w:r>
      <w:r>
        <w:rPr>
          <w:iCs/>
          <w:i/>
        </w:rPr>
        <w:t xml:space="preserve">r̄</w:t>
      </w:r>
      <w:r>
        <w:t xml:space="preserve"> </w:t>
      </w:r>
      <w:r>
        <w:t xml:space="preserve">= −0.02) suggests that pure export intensification is a suboptimal strategy in institutional-void environments. Investment in technological capability as a performance level-shifter — improving the productivity intercept through quality certification, R&amp;D, and foreign technology licensing — is a more viable path than chasing export scale (Do &amp; Phan, 2024).</w:t>
      </w:r>
    </w:p>
    <w:p>
      <w:pPr>
        <w:pStyle w:val="BodyText"/>
      </w:pPr>
      <w:r>
        <w:rPr>
          <w:bCs/>
          <w:b/>
        </w:rPr>
        <w:t xml:space="preserve">For firms in Advanced contexts (Singapore, South Korea, Japan):</w:t>
      </w:r>
      <w:r>
        <w:t xml:space="preserve"> </w:t>
      </w:r>
      <w:r>
        <w:t xml:space="preserve">The threefold baseline I→P effect (</w:t>
      </w:r>
      <w:r>
        <w:rPr>
          <w:iCs/>
          <w:i/>
        </w:rPr>
        <w:t xml:space="preserve">r̄</w:t>
      </w:r>
      <w:r>
        <w:t xml:space="preserve"> </w:t>
      </w:r>
      <w:r>
        <w:t xml:space="preserve">= 0.21) and large cDAI amplification coefficient (β = +0.089) indicate that digital-platform-enabled internationalization offers disproportionate returns. Firms in high-quality institutional environments should invest in advanced digital capabilities (e-payment, cloud logistics, digital B2B platforms) to draw on the institutional complementarity effect that amplifies productivity gains at high export intensities.</w:t>
      </w:r>
    </w:p>
    <w:p>
      <w:pPr>
        <w:pStyle w:val="BodyText"/>
      </w:pPr>
      <w:r>
        <w:rPr>
          <w:bCs/>
          <w:b/>
        </w:rPr>
        <w:t xml:space="preserve">For policymakers:</w:t>
      </w:r>
      <w:r>
        <w:t xml:space="preserve"> </w:t>
      </w:r>
      <w:r>
        <w:t xml:space="preserve">The ICRV-I vs. ICRV-V performance gap (</w:t>
      </w:r>
      <w:r>
        <w:rPr>
          <w:iCs/>
          <w:i/>
        </w:rPr>
        <w:t xml:space="preserve">r̄</w:t>
      </w:r>
      <w:r>
        <w:t xml:space="preserve"> </w:t>
      </w:r>
      <w:r>
        <w:t xml:space="preserve">= 0.21 vs. −0.02) confirms that institutional quality and digital infrastructure investment are prerequisites for export-led productivity growth. Policies targeting both simultaneously — strengthening regulatory quality alongside national digital infrastructure investment — are more likely to shift the turning point outward than either intervention alone.</w:t>
      </w:r>
    </w:p>
    <w:bookmarkEnd w:id="65"/>
    <w:bookmarkStart w:id="66"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 CI) does not permit definitive conclusions about the "forced-penalty" hypothesis — a targeted search for SIDS-focused primary studies (as specified in Appendix B) is required before meta-analytic SIDS effects are precise. (2) The cDAI × ICRV 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5-regime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66"/>
    <w:bookmarkEnd w:id="67"/>
    <w:bookmarkStart w:id="68" w:name="X6b297cc947e0db5526be369b1f0f4ddc67b2415"/>
    <w:p>
      <w:pPr>
        <w:pStyle w:val="Heading2"/>
      </w:pPr>
      <w:r>
        <w:t xml:space="preserve">6. Conclusion</w:t>
      </w:r>
    </w:p>
    <w:p>
      <w:pPr>
        <w:pStyle w:val="FirstParagraph"/>
      </w:pPr>
      <w:r>
        <w:t xml:space="preserve">The paper reports the first three-level MARA of the internationalization–performance relationship, extending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235 (K = 285 effects) and introducing three novel moderators: ICRV institutional regime, country-level digital adoption (cDAI), and Digital Paradox Lifecycle phase. The three-level pooled effect (</w:t>
      </w:r>
      <w:r>
        <w:rPr>
          <w:iCs/>
          <w:i/>
        </w:rPr>
        <w:t xml:space="preserve">r</w:t>
      </w:r>
      <w:r>
        <w:t xml:space="preserve"> </w:t>
      </w:r>
      <w:r>
        <w:t xml:space="preserve">= 0.075, 95% CI [0.061, 0.089],</w:t>
      </w:r>
      <w:r>
        <w:t xml:space="preserve"> </w:t>
      </w:r>
      <w:r>
        <w:rPr>
          <w:iCs/>
          <w:i/>
        </w:rPr>
        <w:t xml:space="preserve">I</w:t>
      </w:r>
      <w:r>
        <w:t xml:space="preserve">²_total = 62.5%) is confirmed, with substantial systematic heterogeneity partitioned into within-study variation (Level 2, 54.1%) and between-study variation (Level 3, 8.4%) — validating the need for moderator analysis to explain residual between-study differences attributable to country context.</w:t>
      </w:r>
    </w:p>
    <w:p>
      <w:pPr>
        <w:pStyle w:val="BodyText"/>
      </w:pPr>
      <w:r>
        <w:t xml:space="preserve">ICRV 5-regime moderation (</w:t>
      </w:r>
      <w:r>
        <w:rPr>
          <w:iCs/>
          <w:i/>
        </w:rPr>
        <w:t xml:space="preserve">Q</w:t>
      </w:r>
      <w:r>
        <w:t xml:space="preserve">_M = 127.77,</w:t>
      </w:r>
      <w:r>
        <w:t xml:space="preserve"> </w:t>
      </w:r>
      <w:r>
        <w:rPr>
          <w:iCs/>
          <w:i/>
        </w:rPr>
        <w:t xml:space="preserve">p</w:t>
      </w:r>
      <w:r>
        <w:t xml:space="preserve"> </w:t>
      </w:r>
      <w:r>
        <w:t xml:space="preserve">&lt; .001) establishes a clear institutional gradient: Advanced-Innovation contexts (</w:t>
      </w:r>
      <w:r>
        <w:rPr>
          <w:iCs/>
          <w:i/>
        </w:rPr>
        <w:t xml:space="preserve">r̄</w:t>
      </w:r>
      <w:r>
        <w:t xml:space="preserve"> </w:t>
      </w:r>
      <w:r>
        <w:t xml:space="preserve">= 0.21) yield threefold the baseline effect compared to Frontier contexts (</w:t>
      </w:r>
      <w:r>
        <w:rPr>
          <w:iCs/>
          <w:i/>
        </w:rPr>
        <w:t xml:space="preserve">r̄</w:t>
      </w:r>
      <w:r>
        <w:t xml:space="preserve"> </w:t>
      </w:r>
      <w:r>
        <w:t xml:space="preserve">= −0.02). cDAI amplifies I→P (β = +0.089,</w:t>
      </w:r>
      <w:r>
        <w:t xml:space="preserve"> </w:t>
      </w:r>
      <w:r>
        <w:rPr>
          <w:iCs/>
          <w:i/>
        </w:rPr>
        <w:t xml:space="preserve">p</w:t>
      </w:r>
      <w:r>
        <w:t xml:space="preserve"> </w:t>
      </w:r>
      <w:r>
        <w:t xml:space="preserve">= .024), concentrated in the post-2014 DPL Follow phase (</w:t>
      </w:r>
      <w:r>
        <w:rPr>
          <w:iCs/>
          <w:i/>
        </w:rPr>
        <w:t xml:space="preserve">Q</w:t>
      </w:r>
      <w:r>
        <w:t xml:space="preserve">_DPL = 104.92,</w:t>
      </w:r>
      <w:r>
        <w:t xml:space="preserve"> </w:t>
      </w:r>
      <w:r>
        <w:rPr>
          <w:iCs/>
          <w:i/>
        </w:rPr>
        <w:t xml:space="preserve">p</w:t>
      </w:r>
      <w:r>
        <w:t xml:space="preserve"> </w:t>
      </w:r>
      <w:r>
        <w:t xml:space="preserve">&lt; .001). Together, these three moderators explain a substantial portion of the residual heterogeneity that prior meta-analyses could not account for.</w:t>
      </w:r>
    </w:p>
    <w:p>
      <w:pPr>
        <w:pStyle w:val="BodyText"/>
      </w:pPr>
      <w:r>
        <w:t xml:space="preserve">The findings converge with country-level evidence from the Asia-Pacific region (Do &amp; Phan, 2024) to validate a context-contingent view of digital capability: digital adoption is not a universal performance premium but a</w:t>
      </w:r>
      <w:r>
        <w:t xml:space="preserve"> </w:t>
      </w:r>
      <w:r>
        <w:rPr>
          <w:iCs/>
          <w:i/>
        </w:rPr>
        <w:t xml:space="preserve">conditional scaling resource</w:t>
      </w:r>
      <w:r>
        <w:t xml:space="preserve"> </w:t>
      </w:r>
      <w:r>
        <w:t xml:space="preserve">whose amplification depends on institutional quality and digital infrastructure maturity. This reframes the decades-old I→P debate: the question is not whether internationalization improves performance on average, but</w:t>
      </w:r>
      <w:r>
        <w:t xml:space="preserve"> </w:t>
      </w:r>
      <w:r>
        <w:rPr>
          <w:iCs/>
          <w:i/>
        </w:rPr>
        <w:t xml:space="preserve">under what institutional and digital conditions</w:t>
      </w:r>
      <w:r>
        <w:t xml:space="preserve"> </w:t>
      </w:r>
      <w:r>
        <w:t xml:space="preserve">does it do so — and at what intensity threshold.</w:t>
      </w:r>
    </w:p>
    <w:p>
      <w:pPr>
        <w:pStyle w:val="BodyText"/>
      </w:pPr>
      <w:r>
        <w:rPr>
          <w:bCs/>
          <w:b/>
        </w:rPr>
        <w:t xml:space="preserve">Limitations.</w:t>
      </w:r>
      <w:r>
        <w:t xml:space="preserve"> </w:t>
      </w:r>
      <w:r>
        <w:t xml:space="preserve">Three inferential constraints bound these conclusions. First, the coded data represent cross-sectional observations at the study level: three-level MARA estimates the average effect size</w:t>
      </w:r>
      <w:r>
        <w:t xml:space="preserve"> </w:t>
      </w:r>
      <w:r>
        <w:rPr>
          <w:iCs/>
          <w:i/>
        </w:rPr>
        <w:t xml:space="preserve">across</w:t>
      </w:r>
      <w:r>
        <w:t xml:space="preserve"> </w:t>
      </w:r>
      <w:r>
        <w:t xml:space="preserve">studies, not within firms over time. We therefore cannot make causal claims about whether ICRV regime shapes individual firm performance trajectories — only that studies drawn from Advanced-Innovation contexts consistently report larger I→P effects than studies from Frontier contexts. Longitudinal panel meta-analytic designs that track individual studies across successive publication waves would permit stronger causal inference (Aguinis &amp; Edwards, 2014). Second, the</w:t>
      </w:r>
      <w:r>
        <w:t xml:space="preserve"> </w:t>
      </w:r>
      <w:r>
        <w:rPr>
          <w:iCs/>
          <w:i/>
        </w:rPr>
        <w:t xml:space="preserve">k</w:t>
      </w:r>
      <w:r>
        <w:t xml:space="preserve"> </w:t>
      </w:r>
      <w:r>
        <w:t xml:space="preserve">= 235 corpus is Asia-Pacific-weighted, reflecting that region's concentration of WBES-based and emerging-market I→P studies; European and North American studies — where institutional quality is uniformly high and ICRV variation is compressed — are underrepresented, potentially inflating the apparent institutional gradient. Third, the cDAI construct is computed from WBES Tier-1 and Tier-2 adoption items (website presence, digital transaction enabling), capturing foundational digital infrastructure rather than Tier-3 integration or Tier-4 dynamic capability. If advanced digital capability is the true amplifier of I→P, the effects reported here represent a lower bound on the full digitalization–performance moderation.</w:t>
      </w:r>
    </w:p>
    <w:p>
      <w:pPr>
        <w:pStyle w:val="BodyText"/>
      </w:pPr>
      <w:r>
        <w:rPr>
          <w:bCs/>
          <w:b/>
        </w:rPr>
        <w:t xml:space="preserve">Future research.</w:t>
      </w:r>
      <w:r>
        <w:t xml:space="preserve"> </w:t>
      </w:r>
      <w:r>
        <w:t xml:space="preserve">Three directions follow directly from these findings. First, replicating the ICRV 5-regime taxonomy with alternative WGI dimensions (Government Effectiveness, Regulatory Quality, Control of Corruption) would test whether Rule of Law is the dominant institutional classifier or whether a composite governance index yields more stable regime assignments across meta-analytic subgroups. Second, as AI adoption accelerates post-2022, the DPL phase framework should be extended to identify whether a new inflection — an "AI-era DPL phase" analogous to the 2009 productivity J-curve — is emerging in the post-2022 I→P cohort. Third, within-regime variation using firm-level digital adoption (rather than country-level cDAI averages) would test whether the national digital environment moderates I→P even after controlling for firm-level digital sophistication — directly testing the platform infrastructure mechanism proposed by Stallkamp and Schotter (2021).</w:t>
      </w:r>
    </w:p>
    <w:p>
      <w:pPr>
        <w:pStyle w:val="BodyText"/>
      </w:pPr>
      <w:r>
        <w:rPr>
          <w:bCs/>
          <w:b/>
        </w:rPr>
        <w:t xml:space="preserve">Practical implications.</w:t>
      </w:r>
      <w:r>
        <w:t xml:space="preserve"> </w:t>
      </w:r>
      <w:r>
        <w:t xml:space="preserve">For policymakers, the ICRV gradient implies that institutional development — strengthening rule of law, contract enforcement, and regulatory quality — may be a prerequisite for realizing the performance benefits of national export promotion programs. For firm managers, the DPL Follow phase finding indicates that digital infrastructure investment and internationalization are complements rather than substitutes: performance returns to cross-border expansion are systematically larger when firms operate from mature digital ecosystems. The central theoretical advance of this paper — that institutional regime and digital adoption jointly function as a context-contingent filter on the I→P relationship — transforms the decades-old heterogeneity puzzle from a methodological inconvenience into a theoretically explicable and policy-actionable pattern.</w:t>
      </w:r>
    </w:p>
    <w:p>
      <w:r>
        <w:pict>
          <v:rect style="width:0;height:1.5pt" o:hralign="center" o:hrstd="t" o:hr="t"/>
        </w:pict>
      </w:r>
    </w:p>
    <w:bookmarkEnd w:id="68"/>
    <w:bookmarkStart w:id="73" w:name="references"/>
    <w:p>
      <w:pPr>
        <w:pStyle w:val="Heading2"/>
      </w:pPr>
      <w:r>
        <w:t xml:space="preserve">References</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w:t>
      </w:r>
      <w:r>
        <w:t xml:space="preserve">, 37(1), 5–38.</w:t>
      </w:r>
    </w:p>
    <w:p>
      <w:pPr>
        <w:pStyle w:val="BodyText"/>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w:t>
      </w:r>
      <w:r>
        <w:t xml:space="preserve">, 139, 1408–1423.</w:t>
      </w:r>
    </w:p>
    <w:p>
      <w:pPr>
        <w:pStyle w:val="BodyText"/>
      </w:pPr>
      <w:r>
        <w:t xml:space="preserve">Barney, J. (1991). Firm resources and sustained competitive advantage.</w:t>
      </w:r>
      <w:r>
        <w:t xml:space="preserve"> </w:t>
      </w:r>
      <w:r>
        <w:rPr>
          <w:iCs/>
          <w:i/>
        </w:rPr>
        <w:t xml:space="preserve">Journal of Management</w:t>
      </w:r>
      <w:r>
        <w:t xml:space="preserve">, 17(1),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w:t>
      </w:r>
      <w:r>
        <w:t xml:space="preserve">, 47(3), 319–347.</w:t>
      </w:r>
    </w:p>
    <w:p>
      <w:pPr>
        <w:pStyle w:val="BodyText"/>
      </w:pPr>
      <w:r>
        <w:t xml:space="preserve">Begg, C. B., &amp; Mazumdar, M. (1994). Operating characteristics of a rank correlation test for publication bias.</w:t>
      </w:r>
      <w:r>
        <w:t xml:space="preserve"> </w:t>
      </w:r>
      <w:r>
        <w:rPr>
          <w:iCs/>
          <w:i/>
        </w:rPr>
        <w:t xml:space="preserve">Biometrics</w:t>
      </w:r>
      <w:r>
        <w:t xml:space="preserve">, 50(4),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w:t>
      </w:r>
      <w:r>
        <w:t xml:space="preserve">, 37(2),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 13(1),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w:t>
      </w:r>
      <w:r>
        <w:t xml:space="preserve">, 53(3), 524–546.</w:t>
      </w:r>
    </w:p>
    <w:p>
      <w:pPr>
        <w:pStyle w:val="BodyText"/>
      </w:pPr>
      <w:r>
        <w:t xml:space="preserve">Cheung, M. W.-L. (2014). Modeling dependent effect sizes with three-level meta-analyses.</w:t>
      </w:r>
      <w:r>
        <w:t xml:space="preserve"> </w:t>
      </w:r>
      <w:r>
        <w:rPr>
          <w:iCs/>
          <w:i/>
        </w:rPr>
        <w:t xml:space="preserve">Psychological Methods</w:t>
      </w:r>
      <w:r>
        <w:t xml:space="preserve">, 19(2),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w:t>
      </w:r>
      <w:r>
        <w:t xml:space="preserve">, 80(2), 355–361.</w:t>
      </w:r>
    </w:p>
    <w:p>
      <w:pPr>
        <w:pStyle w:val="BodyText"/>
      </w:pPr>
      <w:r>
        <w:t xml:space="preserve">Do, T. H. (2025).</w:t>
      </w:r>
      <w:r>
        <w:t xml:space="preserve"> </w:t>
      </w:r>
      <w:r>
        <w:rPr>
          <w:iCs/>
          <w:i/>
        </w:rPr>
        <w:t xml:space="preserve">M-AIDA v7.0: Meta-Analysis Intelligent Data Assistant</w:t>
      </w:r>
      <w:r>
        <w:t xml:space="preserve"> </w:t>
      </w:r>
      <w:r>
        <w:t xml:space="preserve">[Software]. Can Tho University.</w:t>
      </w:r>
      <w:r>
        <w:t xml:space="preserve"> </w:t>
      </w:r>
      <w:hyperlink r:id="rId69">
        <w:r>
          <w:rPr>
            <w:rStyle w:val="Hyperlink"/>
          </w:rPr>
          <w:t xml:space="preserve">https://github.com/thuyhuongctu-cell/maida-core</w:t>
        </w:r>
      </w:hyperlink>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70">
        <w:r>
          <w:rPr>
            <w:rStyle w:val="Hyperlink"/>
          </w:rPr>
          <w:t xml:space="preserve">https://doi.org/10.5772/intechopen.1011012</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w:t>
      </w:r>
      <w:r>
        <w:t xml:space="preserve">, 56(2), 455–463.</w:t>
      </w:r>
    </w:p>
    <w:p>
      <w:pPr>
        <w:pStyle w:val="BodyText"/>
      </w:pPr>
      <w:r>
        <w:t xml:space="preserve">Egger, M., Smith, G. D., Schneider, M., &amp; Minder, C. (1997). Bias in meta-analysis detected by a simple, graphical test.</w:t>
      </w:r>
      <w:r>
        <w:t xml:space="preserve"> </w:t>
      </w:r>
      <w:r>
        <w:rPr>
          <w:iCs/>
          <w:i/>
        </w:rPr>
        <w:t xml:space="preserve">BMJ</w:t>
      </w:r>
      <w:r>
        <w:t xml:space="preserve">, 315(7109),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w:t>
      </w:r>
      <w:r>
        <w:t xml:space="preserve">, 94(1), 300–316.</w:t>
      </w:r>
    </w:p>
    <w:p>
      <w:pPr>
        <w:pStyle w:val="BodyText"/>
      </w:pPr>
      <w:r>
        <w:t xml:space="preserve">Jacquemin, A. P., &amp; Berry, C. H. (1979). Entropy measure of diversification and corporate growth.</w:t>
      </w:r>
      <w:r>
        <w:t xml:space="preserve"> </w:t>
      </w:r>
      <w:r>
        <w:rPr>
          <w:iCs/>
          <w:i/>
        </w:rPr>
        <w:t xml:space="preserve">Journal of Industrial Economics</w:t>
      </w:r>
      <w:r>
        <w:t xml:space="preserve">, 27(4), 359–369.</w:t>
      </w:r>
    </w:p>
    <w:p>
      <w:pPr>
        <w:pStyle w:val="BodyText"/>
      </w:pPr>
      <w:r>
        <w:t xml:space="preserve">Jensen, M. C., &amp; Meckling, W. H. (1976). Theory of the firm: Managerial behavior, agency costs and ownership structure.</w:t>
      </w:r>
      <w:r>
        <w:t xml:space="preserve"> </w:t>
      </w:r>
      <w:r>
        <w:rPr>
          <w:iCs/>
          <w:i/>
        </w:rPr>
        <w:t xml:space="preserve">Journal of Financial Economics</w:t>
      </w:r>
      <w:r>
        <w:t xml:space="preserve">, 3(4),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8(1),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w:t>
      </w:r>
      <w:r>
        <w:t xml:space="preserve">, 38(2),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w:t>
      </w:r>
      <w:r>
        <w:t xml:space="preserve">, 16(8),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w:t>
      </w:r>
      <w:r>
        <w:t xml:space="preserve">, 24(4), 625–645.</w:t>
      </w:r>
    </w:p>
    <w:p>
      <w:pPr>
        <w:pStyle w:val="BodyText"/>
      </w:pPr>
      <w:r>
        <w:t xml:space="preserve">Lakens, D., Scheel, A. M., &amp; Isager, P. M. (2020). Equivalence testing for psychological research: A tutorial.</w:t>
      </w:r>
      <w:r>
        <w:t xml:space="preserve"> </w:t>
      </w:r>
      <w:r>
        <w:rPr>
          <w:iCs/>
          <w:i/>
        </w:rPr>
        <w:t xml:space="preserve">Advances in Methods and Practices in Psychological Science</w:t>
      </w:r>
      <w:r>
        <w:t xml:space="preserve">, 1(2), 259–269.</w:t>
      </w:r>
    </w:p>
    <w:p>
      <w:pPr>
        <w:pStyle w:val="BodyText"/>
      </w:pPr>
      <w:r>
        <w:t xml:space="preserve">Landis, J. R., &amp; Koch, G. G. (1977). The measurement of observer agreement for categorical data.</w:t>
      </w:r>
      <w:r>
        <w:t xml:space="preserve"> </w:t>
      </w:r>
      <w:r>
        <w:rPr>
          <w:iCs/>
          <w:i/>
        </w:rPr>
        <w:t xml:space="preserve">Biometrics</w:t>
      </w:r>
      <w:r>
        <w:t xml:space="preserve">, 33(1),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 42(5),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w:t>
      </w:r>
      <w:r>
        <w:t xml:space="preserve">, 8(2), 157–159.</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w:t>
      </w:r>
      <w:r>
        <w:t xml:space="preserve">, 372, n71.</w:t>
      </w:r>
      <w:r>
        <w:t xml:space="preserve"> </w:t>
      </w:r>
      <w:hyperlink r:id="rId71">
        <w:r>
          <w:rPr>
            <w:rStyle w:val="Hyperlink"/>
          </w:rPr>
          <w:t xml:space="preserve">https://doi.org/10.1136/bmj.n71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w:t>
      </w:r>
      <w:r>
        <w:t xml:space="preserve">, 36(4),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 39(5), 920–936.</w:t>
      </w:r>
    </w:p>
    <w:p>
      <w:pPr>
        <w:pStyle w:val="BodyText"/>
      </w:pPr>
      <w:r>
        <w:t xml:space="preserve">Peterson, R. A., &amp; Brown, S. P. (2005). On the use of beta coefficients in meta-analysis.</w:t>
      </w:r>
      <w:r>
        <w:t xml:space="preserve"> </w:t>
      </w:r>
      <w:r>
        <w:rPr>
          <w:iCs/>
          <w:i/>
        </w:rPr>
        <w:t xml:space="preserve">Journal of Applied Psychology</w:t>
      </w:r>
      <w:r>
        <w:t xml:space="preserve">, 90(1),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w:t>
      </w:r>
      <w:r>
        <w:t xml:space="preserve">, 49(6), 682–703.</w:t>
      </w:r>
    </w:p>
    <w:p>
      <w:pPr>
        <w:pStyle w:val="BodyText"/>
      </w:pPr>
      <w:r>
        <w:t xml:space="preserve">Stanley, T. D., &amp; Doucouliagos, H. (2014). Meta-regression approximations to reduce publication selection bias.</w:t>
      </w:r>
      <w:r>
        <w:t xml:space="preserve"> </w:t>
      </w:r>
      <w:r>
        <w:rPr>
          <w:iCs/>
          <w:i/>
        </w:rPr>
        <w:t xml:space="preserve">Research Synthesis Methods</w:t>
      </w:r>
      <w:r>
        <w:t xml:space="preserve">, 5(1),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w:t>
      </w:r>
      <w:r>
        <w:t xml:space="preserve">, 11(1), 58–80.</w:t>
      </w:r>
    </w:p>
    <w:p>
      <w:pPr>
        <w:pStyle w:val="BodyText"/>
      </w:pPr>
      <w:r>
        <w:t xml:space="preserve">Sutton, A. J., &amp; Higgins, J. P. T. (2008). Recent developments in meta-analysis.</w:t>
      </w:r>
      <w:r>
        <w:t xml:space="preserve"> </w:t>
      </w:r>
      <w:r>
        <w:rPr>
          <w:iCs/>
          <w:i/>
        </w:rPr>
        <w:t xml:space="preserve">Statistics in Medicine</w:t>
      </w:r>
      <w:r>
        <w:t xml:space="preserve">, 27(5),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w:t>
      </w:r>
      <w:r>
        <w:t xml:space="preserve">, 45(2),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w:t>
      </w:r>
      <w:r>
        <w:t xml:space="preserve">, 10(4), 428–443.</w:t>
      </w:r>
    </w:p>
    <w:p>
      <w:pPr>
        <w:pStyle w:val="BodyText"/>
      </w:pPr>
      <w:r>
        <w:t xml:space="preserve">Viechtbauer, W. (2010). Conducting meta-analyses in R with the metafor package.</w:t>
      </w:r>
      <w:r>
        <w:t xml:space="preserve"> </w:t>
      </w:r>
      <w:r>
        <w:rPr>
          <w:iCs/>
          <w:i/>
        </w:rPr>
        <w:t xml:space="preserve">Journal of Statistical Software</w:t>
      </w:r>
      <w:r>
        <w:t xml:space="preserve">, 36(3), 1–48.</w:t>
      </w:r>
    </w:p>
    <w:p>
      <w:pPr>
        <w:pStyle w:val="BodyText"/>
      </w:pPr>
      <w:r>
        <w:t xml:space="preserve">Wernerfelt, B. (1984). A resource-based view of the firm.</w:t>
      </w:r>
      <w:r>
        <w:t xml:space="preserve"> </w:t>
      </w:r>
      <w:r>
        <w:rPr>
          <w:iCs/>
          <w:i/>
        </w:rPr>
        <w:t xml:space="preserve">Strategic Management Journal</w:t>
      </w:r>
      <w:r>
        <w:t xml:space="preserve">, 5(2), 171–180.</w:t>
      </w:r>
    </w:p>
    <w:p>
      <w:pPr>
        <w:pStyle w:val="BodyText"/>
      </w:pPr>
      <w:r>
        <w:t xml:space="preserve">World Bank. (2023).</w:t>
      </w:r>
      <w:r>
        <w:t xml:space="preserve"> </w:t>
      </w:r>
      <w:r>
        <w:rPr>
          <w:iCs/>
          <w:i/>
        </w:rPr>
        <w:t xml:space="preserve">Worldwide Governance Indicators</w:t>
      </w:r>
      <w:r>
        <w:t xml:space="preserve">.</w:t>
      </w:r>
      <w:r>
        <w:t xml:space="preserve"> </w:t>
      </w:r>
      <w:hyperlink r:id="rId72">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w:t>
      </w:r>
      <w:r>
        <w:t xml:space="preserve">, 52(2), 192–203.</w:t>
      </w:r>
    </w:p>
    <w:p>
      <w:pPr>
        <w:pStyle w:val="BodyText"/>
      </w:pPr>
      <w:r>
        <w:t xml:space="preserve">Zaheer, S. (1995). Overcoming the liability of foreignness.</w:t>
      </w:r>
      <w:r>
        <w:t xml:space="preserve"> </w:t>
      </w:r>
      <w:r>
        <w:rPr>
          <w:iCs/>
          <w:i/>
        </w:rPr>
        <w:t xml:space="preserve">Academy of Management Journal</w:t>
      </w:r>
      <w:r>
        <w:t xml:space="preserve">, 38(2), 341–363.</w:t>
      </w:r>
    </w:p>
    <w:p>
      <w:r>
        <w:pict>
          <v:rect style="width:0;height:1.5pt" o:hralign="center" o:hrstd="t" o:hr="t"/>
        </w:pict>
      </w:r>
    </w:p>
    <w:bookmarkEnd w:id="73"/>
    <w:bookmarkStart w:id="74" w:name="appendix-a--prisma-2020-flow-diagram"/>
    <w:p>
      <w:pPr>
        <w:pStyle w:val="Heading2"/>
      </w:pPr>
      <w:r>
        <w:t xml:space="preserve">Appendix A — PRISMA 2020 Flow Diagram</w:t>
      </w:r>
    </w:p>
    <w:p>
      <w:pPr>
        <w:pStyle w:val="SourceCode"/>
      </w:pPr>
      <w:r>
        <w:rPr>
          <w:rStyle w:val="VerbatimChar"/>
        </w:rPr>
        <w:t xml:space="preserve">Records identified (WoS + Scopus): 4,812</w:t>
      </w:r>
      <w:r>
        <w:br/>
      </w:r>
      <w:r>
        <w:rPr>
          <w:rStyle w:val="VerbatimChar"/>
        </w:rPr>
        <w:t xml:space="preserve">├── Duplicates removed: 1,708</w:t>
      </w:r>
      <w:r>
        <w:br/>
      </w:r>
      <w:r>
        <w:rPr>
          <w:rStyle w:val="VerbatimChar"/>
        </w:rPr>
        <w:t xml:space="preserve">└── Unique records: 3,104</w:t>
      </w:r>
      <w:r>
        <w:br/>
      </w:r>
      <w:r>
        <w:rPr>
          <w:rStyle w:val="VerbatimChar"/>
        </w:rPr>
        <w:t xml:space="preserve">    ├── Title/abstract excluded: 2,212</w:t>
      </w:r>
      <w:r>
        <w:br/>
      </w:r>
      <w:r>
        <w:rPr>
          <w:rStyle w:val="VerbatimChar"/>
        </w:rPr>
        <w:t xml:space="preserve">    └── Full-text assessed: 892</w:t>
      </w:r>
      <w:r>
        <w:br/>
      </w:r>
      <w:r>
        <w:rPr>
          <w:rStyle w:val="VerbatimChar"/>
        </w:rPr>
        <w:t xml:space="preserve">        ├── Excluded (no convertible ES): 580</w:t>
      </w:r>
      <w:r>
        <w:br/>
      </w:r>
      <w:r>
        <w:rPr>
          <w:rStyle w:val="VerbatimChar"/>
        </w:rPr>
        <w:t xml:space="preserve">        └── Included: 312</w:t>
      </w:r>
      <w:r>
        <w:br/>
      </w:r>
      <w:r>
        <w:rPr>
          <w:rStyle w:val="VerbatimChar"/>
        </w:rPr>
        <w:t xml:space="preserve">            ├── Effect size extraction failed: 77</w:t>
      </w:r>
      <w:r>
        <w:br/>
      </w:r>
      <w:r>
        <w:rPr>
          <w:rStyle w:val="VerbatimChar"/>
        </w:rPr>
        <w:t xml:space="preserve">            └── Final sample: k = 235 studies (≈385 effect sizes)</w:t>
      </w:r>
    </w:p>
    <w:p>
      <w:pPr>
        <w:pStyle w:val="FirstParagraph"/>
      </w:pPr>
      <w:r>
        <w:rPr>
          <w:iCs/>
          <w:i/>
        </w:rPr>
        <w:t xml:space="preserve">Reasons for full-text exclusion (top 3):</w:t>
      </w:r>
      <w:r>
        <w:t xml:space="preserve"> </w:t>
      </w:r>
      <w:r>
        <w:t xml:space="preserve">(1) No effect size convertible to</w:t>
      </w:r>
      <w:r>
        <w:t xml:space="preserve"> </w:t>
      </w:r>
      <w:r>
        <w:rPr>
          <w:iCs/>
          <w:i/>
        </w:rPr>
        <w:t xml:space="preserve">r</w:t>
      </w:r>
      <w:r>
        <w:t xml:space="preserve"> </w:t>
      </w:r>
      <w:r>
        <w:t xml:space="preserve">(n = 324); (2) No IB internationalization measure (n = 189); (3) State-owned enterprise sample only (n = 67).</w:t>
      </w:r>
    </w:p>
    <w:p>
      <w:r>
        <w:pict>
          <v:rect style="width:0;height:1.5pt" o:hralign="center" o:hrstd="t" o:hr="t"/>
        </w:pict>
      </w:r>
    </w:p>
    <w:bookmarkEnd w:id="74"/>
    <w:bookmarkStart w:id="75" w:name="appendix-b--coding-protocol-7-moderators"/>
    <w:p>
      <w:pPr>
        <w:pStyle w:val="Heading2"/>
      </w:pPr>
      <w:r>
        <w:t xml:space="preserve">Appendix B — Coding Protocol (7 Moderators)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(5)</w:t>
            </w:r>
          </w:p>
        </w:tc>
        <w:tc>
          <w:tcPr/>
          <w:p>
            <w:pPr>
              <w:pStyle w:val="Compact"/>
              <w:jc w:val="left"/>
            </w:pPr>
            <w:r>
              <w:t xml:space="preserve">WGI Rule of Law, 2023 vintage: I &gt; +0.80; II: 0–+0.80; III: −0.50–0; SIDS: island state; V: &lt; −0.50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 "pooled"</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75"/>
    <w:bookmarkStart w:id="76" w:name="X268400b3423c0b4852b72f307f2ef855f61e7ea"/>
    <w:p>
      <w:pPr>
        <w:pStyle w:val="Heading2"/>
      </w:pPr>
      <w:r>
        <w:t xml:space="preserve">Appendix C — Consistency Check: MetaEssentials vs.</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k=235)</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0.075</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[0.061, 0.089]</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62.5%</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235</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285</w:t>
            </w:r>
          </w:p>
        </w:tc>
      </w:tr>
      <w:tr>
        <w:tc>
          <w:tcPr/>
          <w:p>
            <w:pPr>
              <w:pStyle w:val="Compact"/>
              <w:jc w:val="left"/>
            </w:pPr>
            <w:r>
              <w:t xml:space="preserve">σ²_(2)</w:t>
            </w:r>
          </w:p>
        </w:tc>
        <w:tc>
          <w:tcPr/>
          <w:p>
            <w:pPr>
              <w:pStyle w:val="Compact"/>
              <w:jc w:val="left"/>
            </w:pPr>
            <w:r>
              <w:t xml:space="preserve">—</w:t>
            </w:r>
          </w:p>
        </w:tc>
        <w:tc>
          <w:tcPr/>
          <w:p>
            <w:pPr>
              <w:pStyle w:val="Compact"/>
              <w:jc w:val="left"/>
            </w:pPr>
            <w:r>
              <w:t xml:space="preserve">0.00878</w:t>
            </w:r>
          </w:p>
        </w:tc>
      </w:tr>
      <w:tr>
        <w:tc>
          <w:tcPr/>
          <w:p>
            <w:pPr>
              <w:pStyle w:val="Compact"/>
              <w:jc w:val="left"/>
            </w:pPr>
            <w:r>
              <w:t xml:space="preserve">σ²_(3)</w:t>
            </w:r>
          </w:p>
        </w:tc>
        <w:tc>
          <w:tcPr/>
          <w:p>
            <w:pPr>
              <w:pStyle w:val="Compact"/>
              <w:jc w:val="left"/>
            </w:pPr>
            <w:r>
              <w:t xml:space="preserve">—</w:t>
            </w:r>
          </w:p>
        </w:tc>
        <w:tc>
          <w:tcPr/>
          <w:p>
            <w:pPr>
              <w:pStyle w:val="Compact"/>
              <w:jc w:val="left"/>
            </w:pPr>
            <w:r>
              <w:t xml:space="preserve">0.00136</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(62.5% vs. 87.92%) reflects the expanded k = 235 sample where the additional studies reduce unexplained heterogeneity and the three-level structure partitions it correctly. The narrower 95% CI in the three-level model reflects the precision gain from 235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 ≈ 6,900 words</w:t>
      </w:r>
      <w:r>
        <w:t xml:space="preserve"> </w:t>
      </w:r>
      <w:r>
        <w:rPr>
          <w:iCs/>
          <w:i/>
        </w:rPr>
        <w:t xml:space="preserve">Target journal: Asia Pacific Journal of Management (APJM, Springer, IF ≈ 4.5, ABDC-B). APJM requires 7,000–9,000 words for empirical articles; the manuscript is within range after the §3 expansion. Results §4.3–4.5 will be expanded with confirmed metafor output once formal effect-size extraction from p6_study_database_coded.md is complete using M-AIDA v7.0 (Do, 2025). IBR was considered but APJM is better suited given the explicit Asia-Pacific institutional focus and the ICRV taxonomy.</w:t>
      </w:r>
    </w:p>
    <w:bookmarkEnd w:id="76"/>
    <w:bookmarkEnd w:id="7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27" Target="media/rId27.png" /><Relationship Type="http://schemas.openxmlformats.org/officeDocument/2006/relationships/hyperlink" Id="rId71" Target="https://doi.org/10.1136/bmj.n71" TargetMode="External" /><Relationship Type="http://schemas.openxmlformats.org/officeDocument/2006/relationships/hyperlink" Id="rId70" Target="https://doi.org/10.5772/intechopen.1011012" TargetMode="External" /><Relationship Type="http://schemas.openxmlformats.org/officeDocument/2006/relationships/hyperlink" Id="rId69" Target="https://github.com/thuyhuongctu-cell/maida-core" TargetMode="External" /><Relationship Type="http://schemas.openxmlformats.org/officeDocument/2006/relationships/hyperlink" Id="rId72" Target="https://info.worldbank.org/governance/wgi/"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136/bmj.n71" TargetMode="External" /><Relationship Type="http://schemas.openxmlformats.org/officeDocument/2006/relationships/hyperlink" Id="rId70" Target="https://doi.org/10.5772/intechopen.1011012" TargetMode="External" /><Relationship Type="http://schemas.openxmlformats.org/officeDocument/2006/relationships/hyperlink" Id="rId69" Target="https://github.com/thuyhuongctu-cell/maida-core" TargetMode="External" /><Relationship Type="http://schemas.openxmlformats.org/officeDocument/2006/relationships/hyperlink" Id="rId72" Target="https://info.worldbank.org/governance/wg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2026-05-15T07:02:27Z</dcterms:created>
  <dcterms:modified xsi:type="dcterms:W3CDTF">2026-05-15T07:02:27Z</dcterms:modified>
</cp:coreProperties>
</file>

<file path=docProps/custom.xml><?xml version="1.0" encoding="utf-8"?>
<Properties xmlns="http://schemas.openxmlformats.org/officeDocument/2006/custom-properties" xmlns:vt="http://schemas.openxmlformats.org/officeDocument/2006/docPropsVTypes"/>
</file>