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3895c96c7d432e76596cd34868f5fb5db9dd671"/>
    <w:p>
      <w:pPr>
        <w:pStyle w:val="Heading1"/>
      </w:pPr>
      <w:r>
        <w:t xml:space="preserve">Internationalisation and Firm Performance across 49 Asian and Pacific Economies: Institutional Regimes, Digital Capabilities, and Managerial Characteristics as Contingency Factors</w:t>
      </w:r>
    </w:p>
    <w:p>
      <w:pPr>
        <w:pStyle w:val="FirstParagraph"/>
      </w:pPr>
      <w:r>
        <w:rPr>
          <w:bCs/>
          <w:b/>
        </w:rPr>
        <w:t xml:space="preserve">Version:</w:t>
      </w:r>
      <w:r>
        <w:t xml:space="preserve"> </w:t>
      </w:r>
      <w:r>
        <w:t xml:space="preserve">Working manuscript (May 2026)</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We examine whether the internationalisation–performance (I–P) relationship holds across a large and institutionally diverse set of Asian and Pacific economies and identify the conditions under which firms convert export intensity into productive performance. Using microdata from 91,982 firms across 49 economies and 102 country-year waves of the World Bank Enterprise Survey (2003–2025), spanning all six Institutional Capability and Resource Vulnerability (ICRV) regime groups, we estimate a hierarchical set of OLS models with HC1 robust standard errors. We find robust support for an inverted-U I–P relationship with a turning point at approximately 36% of sales from exports (Lind–Mehlum test p &lt; .001; confirmed in M11 at TP=34.6%, p=.002). Technological capability (TCI) raises the performance level without reliably reshaping the curve. Digital adoption (DAI) both raises the performance level and significantly reshapes the I–P curve: firms with higher DAI experience compressed ascending-limb returns at low FSTS and attenuated performance decline at high FSTS (FSTS×DAI p &lt; .01; FSTS²×DAI p &lt; .01 in M8–M9). Institutional regime (ICRV) moderates both slope and curvature. Managerial experience and female top management improve performance; experience additionally moderates the curve shape in the full specification. These findings offer a parsimonious resolution to Asian I–P heterogeneity: the relationship is universally inverted-U, but regime quality and digital capability jointly determine where the turning point falls.</w:t>
      </w:r>
    </w:p>
    <w:p>
      <w:pPr>
        <w:pStyle w:val="BodyText"/>
      </w:pPr>
      <w:r>
        <w:rPr>
          <w:bCs/>
          <w:b/>
        </w:rPr>
        <w:t xml:space="preserve">Keywords:</w:t>
      </w:r>
      <w:r>
        <w:t xml:space="preserve"> </w:t>
      </w:r>
      <w:r>
        <w:t xml:space="preserve">internationalisation–performance; inverted-U; institutional regime; digital capability; Asia-Pacific; World Bank Enterprise Surveys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A central question in international business research concerns whether and how export internationalisation translates into firm performance. Meta-analyses document a mean correlation of approximately r = .07 across several thousand studies (Bausch &amp; Krist, 2007; Kirca et al., 2012; Marano et al., 2016), yet the variance across studies vastly exceeds what sampling error can explain. In Asia — a region that accounts for over half of global manufacturing exports (UNCTAD, 2023) — the evidence is especially fragmented: some studies report positive relationships (Pangarkar, 2008; Korea), others inverted-U curves (Chiao et al., 2006; Taiwan), and still others find null or negative effects (Mondal et al., 2022; India). The standard explanation invokes context as a moderator, but empirical tests simultaneously across institutionally diverse Asian economies remain rare.</w:t>
      </w:r>
    </w:p>
    <w:p>
      <w:pPr>
        <w:pStyle w:val="BodyText"/>
      </w:pPr>
      <w:r>
        <w:t xml:space="preserve">This paper addresses that gap. We pool 91,982 firm-observations from 49 Asian and Pacific economies spanning 2003–2025, harmonised from the World Bank Enterprise Survey (WBES). Our sample spans all six ICRV regime groups — from advanced innovation-driven economies (Singapore, Korea, Taiwan, HongKong, Israel, Cyprus) to Pacific Small Island Developing States (Vanuatu, Solomon Islands, Fiji, Tonga, Samoa, Kiribati, Papua New Guinea, Timor-Leste) and Gulf advanced-resource economies (Bahrain, Kuwait, Qatar, Brunei, Saudi Arabia, Oman) — classified through the Institutional Capability and Resource Vulnerability (ICRV) framework that anchors the broader dissertation programme of which this study is part.</w:t>
      </w:r>
    </w:p>
    <w:p>
      <w:pPr>
        <w:pStyle w:val="BodyText"/>
      </w:pPr>
      <w:r>
        <w:t xml:space="preserve">Our contributions are threefold. First, we provide the largest WBES-based test of the inverted-U I–P hypothesis in Asia, confirming a turning point at approximately 36% foreign sales intensity across all specifications (N = 84,910–29,840), robust even in the full three-way moderation model (M11: TP=34.6%, LM p=.002). Second, we document that digital adoption (DAI) is the primary capability moderator that reshapes the I–P curve, generating significant curve compression effects (FSTS×DAI p&lt;.001) that emerge even without controlling for manager characteristics. Technological capability (TCI) raises the performance level but does not reliably reshape the ascending limb across this sample. Third, we document that institutional regime (ICRV group) systematically moderates both the slope and curvature of the I–P function, with DAI×ICRV interactions (p=.012) indicating that digital capabilities deliver stronger per-unit performance returns in weaker institutional environments.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8" w:name="Xce0b9068aa677089fdc23e66f61b75516af2bf7"/>
    <w:p>
      <w:pPr>
        <w:pStyle w:val="Heading2"/>
      </w:pPr>
      <w:r>
        <w:t xml:space="preserve">2. Theoretical Framework and Hypotheses</w:t>
      </w:r>
    </w:p>
    <w:bookmarkStart w:id="22" w:name="X61eb865d3ba9c18e1eda9971096f2566a95b0ec"/>
    <w:p>
      <w:pPr>
        <w:pStyle w:val="Heading3"/>
      </w:pPr>
      <w:r>
        <w:t xml:space="preserve">2.1 Theoretical Foundations</w:t>
      </w:r>
    </w:p>
    <w:p>
      <w:pPr>
        <w:pStyle w:val="FirstParagraph"/>
      </w:pPr>
      <w:r>
        <w:t xml:space="preserve">We draw on four theoretical traditions. The Uppsala model (Johanson &amp; Vahlne, 1977, 2009) describes internationalisation as a sequential process in which firms accumulate experiential knowledge, progressively reducing psychic distance and coordination costs. The Resource-Based View (Barney, 1991; Wernerfelt, 1984) positions firm-level capabilities — technological, digital, and managerial —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w:t>
      </w:r>
    </w:p>
    <w:bookmarkEnd w:id="22"/>
    <w:bookmarkStart w:id="23" w:name="Xf68c2510db72354551e5b442c06e6149a212286"/>
    <w:p>
      <w:pPr>
        <w:pStyle w:val="Heading3"/>
      </w:pPr>
      <w:r>
        <w:t xml:space="preserve">2.2 The Non-Linear I–P Relationship (H1)</w:t>
      </w:r>
    </w:p>
    <w:p>
      <w:pPr>
        <w:pStyle w:val="FirstParagraph"/>
      </w:pPr>
      <w:r>
        <w:t xml:space="preserve">Contractor et al. (2003) formalised the three-stage S-curve hypothesis: early internationalisation carries fixed entry costs that depress performance; intermediate internationalisation yields learning and scale economies; high internationalisation may again impose coordination and agency costs. Empirically, however, the data more consistently support the inverted-U —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(~88.6%),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804c25e8bdbf8eade8cd93fdb8dbf851f3c8515"/>
    <w:p>
      <w:pPr>
        <w:pStyle w:val="Heading3"/>
      </w:pPr>
      <w:r>
        <w:t xml:space="preserve">2.3 Technological Capability as a Curve Amplifier (H2)</w:t>
      </w:r>
    </w:p>
    <w:p>
      <w:pPr>
        <w:pStyle w:val="FirstParagraph"/>
      </w:pPr>
      <w:r>
        <w:t xml:space="preserve">Technological capability — operationalised as a composite of quality certification, foreign-technology adoption, process innovation, and R&amp;D —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internationalisation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Xf9645264d48ebb644ff7e280396113254c384c7"/>
    <w:p>
      <w:pPr>
        <w:pStyle w:val="Heading3"/>
      </w:pPr>
      <w:r>
        <w:t xml:space="preserve">2.4 Digital Adoption as a Level Enhancer (H3)</w:t>
      </w:r>
    </w:p>
    <w:p>
      <w:pPr>
        <w:pStyle w:val="FirstParagraph"/>
      </w:pPr>
      <w:r>
        <w:t xml:space="preserve">Digital adoption — measured through website presence and electronic-payment share — reduces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for all firms (level effect). In a fully specified model that also accounts for managerial quality — which correlates with digital adoption —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Xfde2382d547d6bd016a370b8abd9bb51c6ab875"/>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c04b0d08a7461e173e211ec4b938149d2f7c8bf"/>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internationalisation costs, so the turning point occurs earlier. Equivalently, holding FSTS constant, firms in stronger institutional regimes earn higher returns per unit of internationalisation.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p>
      <w:r>
        <w:pict>
          <v:rect style="width:0;height:1.5pt" o:hralign="center" o:hrstd="t" o:hr="t"/>
        </w:pict>
      </w:r>
    </w:p>
    <w:bookmarkEnd w:id="27"/>
    <w:bookmarkEnd w:id="28"/>
    <w:bookmarkStart w:id="33" w:name="X5eb800a903106e48a684e9ea9de39ed619b9df8"/>
    <w:p>
      <w:pPr>
        <w:pStyle w:val="Heading2"/>
      </w:pPr>
      <w:r>
        <w:t xml:space="preserve">3. Data and Methods</w:t>
      </w:r>
    </w:p>
    <w:bookmarkStart w:id="29" w:name="X180323993af082d7b264d69830cacecf330a102"/>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We use microdata from 49 Asian and Pacific economies across 102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(Armenia, Bahrain, Cyprus, Iraq, Israel, Jordan, Kuwait, Lebanon, Oman, Qatar, Saudi Arabia, Yemen), and Pacific/SIDS (Fiji, Kiribati, Papua New Guinea, Samoa, Solomon Islands, Tonga, Vanuatu).</w:t>
      </w:r>
    </w:p>
    <w:p>
      <w:pPr>
        <w:pStyle w:val="BodyText"/>
      </w:pPr>
      <w:r>
        <w:t xml:space="preserve">The final analytical dataset contains 91,982 firm-observations (before applying outcome and FSTS non-missing requirements). Oman's available data (2003 vintage) predates the digital-capability variables used in M6–M11; it contributes to M2 but drops from M3+ due to missing controls.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 selecting the largest file per (country, year) pair when multiple uploads exist.</w:t>
      </w:r>
    </w:p>
    <w:bookmarkEnd w:id="29"/>
    <w:bookmarkStart w:id="30" w:name="Xbcf9f12e79107fa2c089aaf13fc6c4fb773f1c2"/>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0"/>
    <w:bookmarkStart w:id="31" w:name="X88d3b635b18ee197bee6ec760e4576787847be1"/>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1"/>
    <w:bookmarkStart w:id="32" w:name="X7306ee6cc650c2a8c74023d786fd3b6ffa0ad4b"/>
    <w:p>
      <w:pPr>
        <w:pStyle w:val="Heading3"/>
      </w:pPr>
      <w:r>
        <w:t xml:space="preserve">3.4 Sample Sizes</w:t>
      </w:r>
    </w:p>
    <w:p>
      <w:pPr>
        <w:pStyle w:val="FirstParagraph"/>
      </w:pPr>
      <w:r>
        <w:t xml:space="preserve">The analytic sample for M2 (outcome + FSTS non-missing) is N = 84,910. Adding controls reduces the sample to N = 38,342 (M3); country-year FE model M5 uses the same sample. TCI-moderation models (M6, M7) use N ≈ 38,051; adding DAI (M8) N ≈ 37,940; manager models (M9) N ≈ 35,568; ICRV-moderation (M10) N ≈ 31,928; full three-way (M11) N ≈ 29,840.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2"/>
    <w:bookmarkEnd w:id="33"/>
    <w:bookmarkStart w:id="41" w:name="X121719332867ee227f0a04b486098cee978c6e6"/>
    <w:p>
      <w:pPr>
        <w:pStyle w:val="Heading2"/>
      </w:pPr>
      <w:r>
        <w:t xml:space="preserve">4. Results</w:t>
      </w:r>
    </w:p>
    <w:bookmarkStart w:id="34" w:name="X1a3b7383b8b125b3d271986dbdfbc78bb7f954a"/>
    <w:p>
      <w:pPr>
        <w:pStyle w:val="Heading3"/>
      </w:pPr>
      <w:r>
        <w:t xml:space="preserve">4.1 Descriptive Statistics and Correlations</w:t>
      </w:r>
    </w:p>
    <w:p>
      <w:pPr>
        <w:pStyle w:val="FirstParagraph"/>
      </w:pPr>
      <w:r>
        <w:t xml:space="preserve">The full analytic sample spans 49 economies and 102 country-year waves. The mean FSTS across firms is approximately 12% (median ≈ 0), reflecting the fact that most WBES firms are domestically oriented; exporters (FSTS &gt; 0) represent approximately 18% of the sample. Labour productivity ranges from ln(LP) ≈ 10 (Tajikistan, Timor-Leste) to ln(LP) ≈ 20 (Vietnam, Indonesia — reflecting PPP-unadjusted nominal sales differences). Pairwise correlations among focal variables are modest (|r| &lt; .15 for all pairs), and variance inflation factors in the full model are below 3.5, ruling out multicollinearity concerns.</w:t>
      </w:r>
    </w:p>
    <w:bookmarkEnd w:id="34"/>
    <w:bookmarkStart w:id="35" w:name="Xdbf83b4a83d0a9c63e43fc4d25cefed1772f7cd"/>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+1.316 (p &lt; .001) and β₂ = −1.810 (p &lt; .001), consistent with an inverted-U. Following Haans, Pieters, and He (2016), all four formal conditions for a genuine inverted-U are satisfied in M2: (C1) β₁ = +1.316 (p &lt; .001), confirming a positive ascending limb; (C2) β₂ = −1.810 (p &lt; .001), confirming concavity; (C3) the turning point TP* ≈ 36.4% lies well within the observed FSTS range [0%, 100%]; and (C4) the marginal effect of internationalisation is positive at the lower data boundary (FSTS ≈ 0%, slope ≈ +1.32) and negative at the upper boundary (FSTS ≈ 100%, slope ≈ −2.30), with opposite signs confirmed by the Lind–Mehlum (2010) u-test (joint p &lt; .001). The inverted-U remains significant when controls are added (M3: TP = 33.8%, LM p &lt; .001) and when country-year fixed effects absorb all unobserved time-varying country heterogeneity (M5: TP = 40.0%, LM p &lt; .001, adjR² = .677). The consistency of the turning point across M2, M3, and M5 — ranging from 33.8% to 40.0% — provides strong evidence that the inverted-U is not an artefact of omitted country-level confounders. Crucially, the inverted-U is also confirmed in the full three-way moderation model M11 (TP = 34.6%, LM p = .002),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49 Asian and Pacific economies, with a turning point of approximately 36% foreign sales intensity.</w:t>
      </w:r>
    </w:p>
    <w:bookmarkEnd w:id="35"/>
    <w:bookmarkStart w:id="36" w:name="X9595a9bb339e08d65399a059096afa9ae72a457"/>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+0.321, p &lt; .001) raises adjR² from .015 to .024. The interaction model M7 adds FSTS×TCI and FSTS²×TCI. Results show:</w:t>
      </w:r>
    </w:p>
    <w:p>
      <w:pPr>
        <w:numPr>
          <w:ilvl w:val="0"/>
          <w:numId w:val="1001"/>
        </w:numPr>
        <w:pStyle w:val="Compact"/>
      </w:pPr>
      <w:r>
        <w:t xml:space="preserve">TCI main effect: β = +0.344 (p &lt; .001) — higher TCI raises baseline performance</w:t>
      </w:r>
    </w:p>
    <w:p>
      <w:pPr>
        <w:numPr>
          <w:ilvl w:val="0"/>
          <w:numId w:val="1001"/>
        </w:numPr>
        <w:pStyle w:val="Compact"/>
      </w:pPr>
      <w:r>
        <w:t xml:space="preserve">FSTS×TCI: β = −0.144 (NS) — the ascending limb interaction is not significant</w:t>
      </w:r>
    </w:p>
    <w:p>
      <w:pPr>
        <w:numPr>
          <w:ilvl w:val="0"/>
          <w:numId w:val="1001"/>
        </w:numPr>
        <w:pStyle w:val="Compact"/>
      </w:pPr>
      <w:r>
        <w:t xml:space="preserve">FSTS²×TCI: β = −0.137 (NS in M7; remains NS in M8, p=.129)</w:t>
      </w:r>
    </w:p>
    <w:p>
      <w:pPr>
        <w:pStyle w:val="FirstParagraph"/>
      </w:pPr>
      <w:r>
        <w:t xml:space="preserve">The joint F-test for the two TCI interaction terms is not significant across M7–M9. The inverted-U remains confirmed in M7 (TP = 33.9%, LM p &lt; .001). A one-SD increase in TCI raises labour productivity by exp(0.344) − 1 ≈ 41% at mean FSTS —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49-economy sample, attenuating individual-country patterns documented in P3/P5.</w:t>
      </w:r>
    </w:p>
    <w:bookmarkEnd w:id="36"/>
    <w:bookmarkStart w:id="37" w:name="X151158cb9bb4ce58412a9381bb2aaa4f708d4d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significant (β = +0.155, p &lt; .001), consistent with approximately a 17% performance premium for digitally active firms (exp(0.155) − 1 ≈ 17%). Strikingly, both DAI interaction terms are significant in M8: FSTS×DAI = −0.614 (p &lt; .001, ***) and FSTS²×DAI = +0.766 (p = .001, **). The interaction pattern — negative FSTS×DAI and positive FSTS²×DAI —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−0.780 (p &lt; .001, ***) and FSTS²×DAI = +0.994 (p &lt; .001, ***). The inverted-U is maintained in both specifications (M8: TP = 33.8%; M9: TP = 36.1%).</w:t>
      </w:r>
    </w:p>
    <w:p>
      <w:pPr>
        <w:pStyle w:val="BodyText"/>
      </w:pPr>
      <w:r>
        <w:rPr>
          <w:bCs/>
          <w:b/>
        </w:rPr>
        <w:t xml:space="preserve">H3 is supported.</w:t>
      </w:r>
      <w:r>
        <w:t xml:space="preserve"> </w:t>
      </w:r>
      <w:r>
        <w:t xml:space="preserve">DAI raises firm performance by approximately 16% and significantly reshapes the I–P curve — compressing the ascending limb and attenuating the performance decline at high FSTS — even before controlling for managerial characteristics. This is the primary capability-moderating finding of the study.</w:t>
      </w:r>
    </w:p>
    <w:bookmarkEnd w:id="37"/>
    <w:bookmarkStart w:id="38" w:name="X8c2848f12d916aaecc7d070f2d4e848d015e61e"/>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+0.007, p = .026) and female top manager (β = +0.185, p &lt; .001) both raise firm performance independently of FSTS in M9. The experience effect implies approximately 0.7% higher labour productivity per additional year of sectoral experience; the female top manager effect implies approximately a 20% performance premium (exp(0.185) − 1 ≈ 20%). The FSTS×manager_experience interaction is not significant in M9 (β = −0.012, p = .133), but is marginally significant in M11 (β = −0.019, p = .053, †) — suggesting that, in the full specification, more experienced managers navigate the high-FSTS coordination challenges more effectively (negative interaction = smaller performance decline above the turning point).</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marginally present in M11 but absent in M9; we interpret this as a secondary finding requiring replication.</w:t>
      </w:r>
    </w:p>
    <w:bookmarkEnd w:id="38"/>
    <w:bookmarkStart w:id="39" w:name="Xa3f0408b049fb96786efb222e5b901022bb2da2"/>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+0.763, p &lt; .001) indicates that — controlling for TCI, DAI, and firm characteristics — each step up the ICRV scale (from Group I to VI, i.e., from stronger to weaker institutions) is associated with approximately a 115% higher labour productivity level (exp(0.763) − 1 ≈ 115%).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+1.762, p &lt; .001) and FSTS²×ICRV (β = −2.746, p &lt; .001). These indicate that the ascending slope of the I–P curve is steeper in weaker-institution economies (higher ICRV group), but so is the descending slope — meaning that the inverted-U peak occurs at lower export intensities in stronger-institution economies (lower ICRV number), and is more pronounced in weaker-institution economies. Decomposing by ICRV group: for Group I economies (Advanced innovation-driven), the estimated turning point is approximately 28%; for Group V–VI (Frontier/SIDS), the estimated turning point is approximately 55%. This pattern is consistent with firms in institutionally advanced economies recouping internationalisation costs at lower export intensities, while firms in institutionally weaker environments require greater export commitment to reach the performance peak.</w:t>
      </w:r>
    </w:p>
    <w:p>
      <w:pPr>
        <w:pStyle w:val="BodyText"/>
      </w:pPr>
      <w:r>
        <w:rPr>
          <w:bCs/>
          <w:b/>
        </w:rPr>
        <w:t xml:space="preserve">H5 is supported.</w:t>
      </w:r>
      <w:r>
        <w:t xml:space="preserve"> </w:t>
      </w:r>
      <w:r>
        <w:t xml:space="preserve">The ICRV institutional regime systematically moderates both the slope and curvature of the I–P function, with stronger institutions associated with earlier (lower FSTS) performance peaks.</w:t>
      </w:r>
    </w:p>
    <w:bookmarkEnd w:id="39"/>
    <w:bookmarkStart w:id="40" w:name="Xe3d609495bfc842c038fb0d5f07a3f6c06c0462"/>
    <w:p>
      <w:pPr>
        <w:pStyle w:val="Heading3"/>
      </w:pPr>
      <w:r>
        <w:t xml:space="preserve">4.7 Full Three-Way Moderation (H7-P7)</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34.6%, LM p = .002), establishing that the inverted-U shape holds even in the most demanding specification. The DAI×ICRV interaction (β = +0.060, p = .012, *) is significant, consistent with the CDCM prediction that digital capabilities provide stronger per-unit performance effects in weaker institutional environments. The three-way FSTS×DAI×ICRV term (β = −0.001, NS) is not significant, indicating that the DAI curve-reshaping effect documented in M8/M9 does not systematically vary across the ICRV regime gradient in this specification.</w:t>
      </w:r>
    </w:p>
    <w:p>
      <w:pPr>
        <w:pStyle w:val="BodyText"/>
      </w:pPr>
      <w:r>
        <w:t xml:space="preserve">AdjR² = .067 in M11 (vs. .049 in M10) indicates meaningful incremental fit from adding the three-way moderation structure.</w:t>
      </w:r>
    </w:p>
    <w:p>
      <w:pPr>
        <w:pStyle w:val="BodyText"/>
      </w:pPr>
      <w:r>
        <w:rPr>
          <w:bCs/>
          <w:b/>
        </w:rPr>
        <w:t xml:space="preserve">H7-P7 (three-way interaction) is not confirmed; M11 inverted-U is confirmed.</w:t>
      </w:r>
      <w:r>
        <w:t xml:space="preserve"> </w:t>
      </w:r>
      <w:r>
        <w:t xml:space="preserve">The DAI×ICRV main interaction is significant (p = .012), supporting regime-contingent digital effects. The three-way FSTS curve-reshaping via DAI×ICRV does not reach significance — the WBES DAI measure's limited dimensionality (Tier 1–2 only) likely constrains detection of the full CDCM-predicted interaction.</w:t>
      </w:r>
    </w:p>
    <w:p>
      <w:r>
        <w:pict>
          <v:rect style="width:0;height:1.5pt" o:hralign="center" o:hrstd="t" o:hr="t"/>
        </w:pict>
      </w:r>
    </w:p>
    <w:bookmarkEnd w:id="40"/>
    <w:bookmarkEnd w:id="41"/>
    <w:bookmarkStart w:id="47" w:name="X735612638e4e736e4693e459c258977262c0dfc"/>
    <w:p>
      <w:pPr>
        <w:pStyle w:val="Heading2"/>
      </w:pPr>
      <w:r>
        <w:t xml:space="preserve">5. Discussion</w:t>
      </w:r>
    </w:p>
    <w:bookmarkStart w:id="42" w:name="Xdb3d0d0ea2b17533512dc509acb289540c6f5bb"/>
    <w:p>
      <w:pPr>
        <w:pStyle w:val="Heading3"/>
      </w:pPr>
      <w:r>
        <w:t xml:space="preserve">5.1 Resolution of Cross-Study Heterogeneity</w:t>
      </w:r>
    </w:p>
    <w:p>
      <w:pPr>
        <w:pStyle w:val="FirstParagraph"/>
      </w:pPr>
      <w:r>
        <w:t xml:space="preserve">The central finding — an inverted-U with a turning point at approximately 36% foreign sales intensity, robust across 49 economies and six ICRV groups — offers a parsimonious resolution to apparent inconsistencies in the Asian I–P literature. Studies finding positive linear effects (Pangarkar, 2008: Singapore; Cho et al., 2023: Korea) are working with samples centred well below the 36% turning point; their firms are on the ascending limb. Studies finding null or negative results (Mondal et al., 2022: India family firms) may be capturing firms above the turning point in a high-WBES-wave year. Our ICRV moderation result provides a further refinement: the turning point itself varies from approximately 28% (Group I) to 55% (Group V–VI), so studies in institutionally advanced economies are likely to find earlier-peaking effects than studies in frontier economies.</w:t>
      </w:r>
    </w:p>
    <w:bookmarkEnd w:id="42"/>
    <w:bookmarkStart w:id="43" w:name="X3e958d55d5690299d9deebec25f8bb524b314c6"/>
    <w:p>
      <w:pPr>
        <w:pStyle w:val="Heading3"/>
      </w:pPr>
      <w:r>
        <w:t xml:space="preserve">5.2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49-economy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3"/>
    <w:bookmarkStart w:id="44" w:name="X6dd7d6eceb2ff81026d810222fc30c1f86e05e5"/>
    <w:p>
      <w:pPr>
        <w:pStyle w:val="Heading3"/>
      </w:pPr>
      <w:r>
        <w:t xml:space="preserve">5.3 Digital Adoption and Institutional Complementarity</w:t>
      </w:r>
    </w:p>
    <w:p>
      <w:pPr>
        <w:pStyle w:val="FirstParagraph"/>
      </w:pPr>
      <w:r>
        <w:t xml:space="preserve">The capability-complementarity curve reshaping found for DAI in M9 — and the significant DAI×ICRV interaction (β = +0.060, p = .012) in M11 —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4"/>
    <w:bookmarkStart w:id="45" w:name="X84f38018b3434e120970b4f2e30dde187cbc62e"/>
    <w:p>
      <w:pPr>
        <w:pStyle w:val="Heading3"/>
      </w:pPr>
      <w:r>
        <w:t xml:space="preserve">5.4 Managerial Heterogeneity</w:t>
      </w:r>
    </w:p>
    <w:p>
      <w:pPr>
        <w:pStyle w:val="FirstParagraph"/>
      </w:pPr>
      <w:r>
        <w:t xml:space="preserve">The consistent and significant performance premium for female top managers (approximately 17–20%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 female managers improve absolute performance but do not help firms navigate internationalisation more efficiently.</w:t>
      </w:r>
    </w:p>
    <w:p>
      <w:pPr>
        <w:pStyle w:val="BodyText"/>
      </w:pPr>
      <w:r>
        <w:t xml:space="preserve">Two recent World Bank studies corroborate the premium from a supply-side perspective. In Vietnam — one of our largest ICRV Group IV contributors, with a female-to-male labour force participation ratio of 88.61% (World Bank Prosperity Data360, 2025) —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5"/>
    <w:bookmarkStart w:id="46" w:name="Xde7edcb3f604b7ff7a62d585547252a5b42f172"/>
    <w:p>
      <w:pPr>
        <w:pStyle w:val="Heading3"/>
      </w:pPr>
      <w:r>
        <w:t xml:space="preserve">5.5 Limitations</w:t>
      </w:r>
    </w:p>
    <w:p>
      <w:pPr>
        <w:pStyle w:val="FirstParagraph"/>
      </w:pPr>
      <w:r>
        <w:t xml:space="preserve">Three inferential constraints bound these findings. First, WBES is a cross-sectional design: the term "performance" throughout refers to a contemporaneous association between FSTS and labour productivity in a given survey year, not a panel-tracked causal effect. The IV strategy used in P3 Vietnam to address selection into exporting is not available at scale across 34 economies. Second, the DAI measure is limited to Tier 1 (website) and Tier 2 (e-payment) capabilities in most WBES waves; the richer digital capability dimensions captured in more recent BEE-schema waves are not yet available for the majority of economies. Third, the dataset now covers all 49 ICRV-mapped economies across six regime groups; however, Oman's available wave (2003) predates the digital-capability variables, limiting its contribution to baseline models only. Future waves of the Oman WBES would sharpen Group II estimates.</w:t>
      </w:r>
    </w:p>
    <w:p>
      <w:r>
        <w:pict>
          <v:rect style="width:0;height:1.5pt" o:hralign="center" o:hrstd="t" o:hr="t"/>
        </w:pict>
      </w:r>
    </w:p>
    <w:bookmarkEnd w:id="46"/>
    <w:bookmarkEnd w:id="47"/>
    <w:bookmarkStart w:id="48" w:name="X56025c6d9dbf7520f7a7df11f905cdd09f46e4a"/>
    <w:p>
      <w:pPr>
        <w:pStyle w:val="Heading2"/>
      </w:pPr>
      <w:r>
        <w:t xml:space="preserve">6. Conclusions</w:t>
      </w:r>
    </w:p>
    <w:p>
      <w:pPr>
        <w:pStyle w:val="FirstParagraph"/>
      </w:pPr>
      <w:r>
        <w:t xml:space="preserve">We find that the inverted-U I–P relationship holds robustly across a 49-economy, 102-wave WBES sample, with a turning point of approximately 36% foreign sales intensity. Three conclusions are policy-relevant. First, for firms in the ascending phase (FSTS &lt; 36%), intensifying internationalisation is productivity-enhancing; the priority is removing barriers to export expansion. For firms beyond the turning point, the constraint is not market access but coordination capacity. Second, building technological capability raises the performance level across all FSTS levels without reliably reshaping the curve; policy should target capability building as a baseline performance lever rather than as a curve-shifting intervention. Third, digital adoption is both a universal performance enhancer and a primary curve reshaper: DAI compresses ascending-limb returns and attenuates descending-limb performance decline, with stronger returns in weaker institutional environments (DAI×ICRV, p = .012).</w:t>
      </w:r>
    </w:p>
    <w:p>
      <w:pPr>
        <w:pStyle w:val="BodyText"/>
      </w:pPr>
      <w:r>
        <w:t xml:space="preserve">The near-term policy context adds urgency to these findings. World Bank (2026b) macro monitoring data for Vietnam — the largest ICRV Group IV economy in the sample — show manufacturing PMI falling to 45.3 (contraction) in March 2026 as new export orders collapsed following the opening of a U.S. trade-representative investigation; merchandise imports had risen 27.8% year-on-year by the same month, partly driven by energy supply-chain disruption from the Strait of Hormuz conflict. These conditions are precisely those under which the right-side of the inverted-U becomes consequential: firms pushed above their optimal FSTS by earlier export commitments face amplified coordination and input-cost pressures. The ICRV moderation result — that Group IV firms face steeper descending-limb penalties — implies that Vietnamese exporters currently above the 36% FSTS turning point are among the most exposed to macro shocks. Policies promoting digital capability adoption (DAI) can buffer this descent by compressing the descending limb, consistent with our M8/M9 estimates.</w:t>
      </w:r>
    </w:p>
    <w:p>
      <w:pPr>
        <w:pStyle w:val="BodyText"/>
      </w:pPr>
      <w:r>
        <w:t xml:space="preserve">Future research should leverage the growing panel dimensions of WBES to establish causality, and incorporate Tier 3–4 digital capability measures (AI adoption, cloud computing, platform participation) as these items become available in the 2025+ WBES waves.</w:t>
      </w:r>
    </w:p>
    <w:p>
      <w:r>
        <w:pict>
          <v:rect style="width:0;height:1.5pt" o:hralign="center" o:hrstd="t" o:hr="t"/>
        </w:pict>
      </w:r>
    </w:p>
    <w:bookmarkEnd w:id="48"/>
    <w:bookmarkStart w:id="73"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49">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0">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1">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2">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3">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4">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55">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56">
        <w:r>
          <w:rPr>
            <w:rStyle w:val="Hyperlink"/>
          </w:rPr>
          <w:t xml:space="preserve">https://doi.org/10.1007/s10869-013-9308-7</w:t>
        </w:r>
      </w:hyperlink>
    </w:p>
    <w:p>
      <w:pPr>
        <w:pStyle w:val="BodyText"/>
      </w:pPr>
      <w:r>
        <w:t xml:space="preserve">[Author A] &amp; [Author B]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57">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8">
        <w:r>
          <w:rPr>
            <w:rStyle w:val="Hyperlink"/>
          </w:rPr>
          <w:t xml:space="preserve">https://doi.org/10.1002/smj.2399</w:t>
        </w:r>
      </w:hyperlink>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59">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0">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1">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2">
        <w:r>
          <w:rPr>
            <w:rStyle w:val="Hyperlink"/>
          </w:rPr>
          <w:t xml:space="preserve">https://doi.org/10.1057/jibs.2009.24</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3">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4">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65">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66">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67">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68">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69">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70">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1">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72">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2">
        <w:r>
          <w:rPr>
            <w:rStyle w:val="Hyperlink"/>
          </w:rPr>
          <w:t xml:space="preserve">https://www.worldbank.org/ext/en/country/vietnam</w:t>
        </w:r>
      </w:hyperlink>
    </w:p>
    <w:p>
      <w:pPr>
        <w:pStyle w:val="BodyText"/>
      </w:pPr>
      <w:r>
        <w:t xml:space="preserve">Wu, J., Wang, C., Hong, J., Piperopoulos, P., &amp; Zhuo, S. (2022). Internationalisation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73"/>
    <w:bookmarkStart w:id="74"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(N=29,840, AdjR²=.067, TP=34.6%, LM p=.002): DAI×ICRV=+0.060*, three-way FSTS×DAI×ICRV=−0.001 (NS), mgr_experience=+0.009**, FSTS×mgr=−0.019†, mgr_female=+0.187***, female_owner=+0.128**.</w:t>
      </w:r>
    </w:p>
    <w:p>
      <w:r>
        <w:pict>
          <v:rect style="width:0;height:1.5pt" o:hralign="center" o:hrstd="t" o:hr="t"/>
        </w:pict>
      </w:r>
    </w:p>
    <w:bookmarkEnd w:id="74"/>
    <w:bookmarkStart w:id="75"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bookmarkEnd w:id="75"/>
    <w:bookmarkEnd w:id="7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3" Target="https://doi.org/10.1002/gsj.1028" TargetMode="External" /><Relationship Type="http://schemas.openxmlformats.org/officeDocument/2006/relationships/hyperlink" Id="rId58" Target="https://doi.org/10.1002/smj.2399" TargetMode="External" /><Relationship Type="http://schemas.openxmlformats.org/officeDocument/2006/relationships/hyperlink" Id="rId70" Target="https://doi.org/10.1002/smj.4250050207" TargetMode="External" /><Relationship Type="http://schemas.openxmlformats.org/officeDocument/2006/relationships/hyperlink" Id="rId56" Target="https://doi.org/10.1007/s10869-013-9308-7" TargetMode="External" /><Relationship Type="http://schemas.openxmlformats.org/officeDocument/2006/relationships/hyperlink" Id="rId51" Target="https://doi.org/10.1007/s11187-005-5599-z" TargetMode="External" /><Relationship Type="http://schemas.openxmlformats.org/officeDocument/2006/relationships/hyperlink" Id="rId50" Target="https://doi.org/10.1007/s11575-007-0019-z" TargetMode="External" /><Relationship Type="http://schemas.openxmlformats.org/officeDocument/2006/relationships/hyperlink" Id="rId69" Target="https://doi.org/10.1016/j.jbusres.2019.09.022" TargetMode="External" /><Relationship Type="http://schemas.openxmlformats.org/officeDocument/2006/relationships/hyperlink" Id="rId54" Target="https://doi.org/10.1016/j.jwb.2007.06.003" TargetMode="External" /><Relationship Type="http://schemas.openxmlformats.org/officeDocument/2006/relationships/hyperlink" Id="rId68" Target="https://doi.org/10.1016/j.jwb.2007.11.009" TargetMode="External" /><Relationship Type="http://schemas.openxmlformats.org/officeDocument/2006/relationships/hyperlink" Id="rId55" Target="https://doi.org/10.1016/j.jwb.2017.11.003" TargetMode="External" /><Relationship Type="http://schemas.openxmlformats.org/officeDocument/2006/relationships/hyperlink" Id="rId62" Target="https://doi.org/10.1057/jibs.2009.24" TargetMode="External" /><Relationship Type="http://schemas.openxmlformats.org/officeDocument/2006/relationships/hyperlink" Id="rId67" Target="https://doi.org/10.1057/jibs.2016.7" TargetMode="External" /><Relationship Type="http://schemas.openxmlformats.org/officeDocument/2006/relationships/hyperlink" Id="rId53" Target="https://doi.org/10.1057/palgrave.jibs.8400003" TargetMode="External" /><Relationship Type="http://schemas.openxmlformats.org/officeDocument/2006/relationships/hyperlink" Id="rId57" Target="https://doi.org/10.1057/palgrave.jibs.8490065" TargetMode="External" /><Relationship Type="http://schemas.openxmlformats.org/officeDocument/2006/relationships/hyperlink" Id="rId61" Target="https://doi.org/10.1057/palgrave.jibs.8490676" TargetMode="External" /><Relationship Type="http://schemas.openxmlformats.org/officeDocument/2006/relationships/hyperlink" Id="rId65" Target="https://doi.org/10.1080/00031305.2000.10474549" TargetMode="External" /><Relationship Type="http://schemas.openxmlformats.org/officeDocument/2006/relationships/hyperlink" Id="rId64" Target="https://doi.org/10.1111/j.1468-0084.2009.00569.x" TargetMode="External" /><Relationship Type="http://schemas.openxmlformats.org/officeDocument/2006/relationships/hyperlink" Id="rId49" Target="https://doi.org/10.1177/014920639101700108" TargetMode="External" /><Relationship Type="http://schemas.openxmlformats.org/officeDocument/2006/relationships/hyperlink" Id="rId66" Target="https://doi.org/10.2307/20159604" TargetMode="External" /><Relationship Type="http://schemas.openxmlformats.org/officeDocument/2006/relationships/hyperlink" Id="rId52" Target="https://doi.org/10.2307/2393553" TargetMode="External" /><Relationship Type="http://schemas.openxmlformats.org/officeDocument/2006/relationships/hyperlink" Id="rId60" Target="https://doi.org/10.5465/amr.1984.4277628" TargetMode="External" /><Relationship Type="http://schemas.openxmlformats.org/officeDocument/2006/relationships/hyperlink" Id="rId59" Target="https://doi.org/10.5465/amr.2007.24345254" TargetMode="External" /><Relationship Type="http://schemas.openxmlformats.org/officeDocument/2006/relationships/hyperlink" Id="rId71" Target="https://www.enterprisesurveys.org" TargetMode="External" /><Relationship Type="http://schemas.openxmlformats.org/officeDocument/2006/relationships/hyperlink" Id="rId72" Target="https://www.worldbank.org/ext/en/country/vietnam" TargetMode="External" /></Relationships>
</file>

<file path=word/_rels/footnotes.xml.rels><?xml version="1.0" encoding="UTF-8"?><Relationships xmlns="http://schemas.openxmlformats.org/package/2006/relationships"><Relationship Type="http://schemas.openxmlformats.org/officeDocument/2006/relationships/hyperlink" Id="rId63" Target="https://doi.org/10.1002/gsj.1028" TargetMode="External" /><Relationship Type="http://schemas.openxmlformats.org/officeDocument/2006/relationships/hyperlink" Id="rId58" Target="https://doi.org/10.1002/smj.2399" TargetMode="External" /><Relationship Type="http://schemas.openxmlformats.org/officeDocument/2006/relationships/hyperlink" Id="rId70" Target="https://doi.org/10.1002/smj.4250050207" TargetMode="External" /><Relationship Type="http://schemas.openxmlformats.org/officeDocument/2006/relationships/hyperlink" Id="rId56" Target="https://doi.org/10.1007/s10869-013-9308-7" TargetMode="External" /><Relationship Type="http://schemas.openxmlformats.org/officeDocument/2006/relationships/hyperlink" Id="rId51" Target="https://doi.org/10.1007/s11187-005-5599-z" TargetMode="External" /><Relationship Type="http://schemas.openxmlformats.org/officeDocument/2006/relationships/hyperlink" Id="rId50" Target="https://doi.org/10.1007/s11575-007-0019-z" TargetMode="External" /><Relationship Type="http://schemas.openxmlformats.org/officeDocument/2006/relationships/hyperlink" Id="rId69" Target="https://doi.org/10.1016/j.jbusres.2019.09.022" TargetMode="External" /><Relationship Type="http://schemas.openxmlformats.org/officeDocument/2006/relationships/hyperlink" Id="rId54" Target="https://doi.org/10.1016/j.jwb.2007.06.003" TargetMode="External" /><Relationship Type="http://schemas.openxmlformats.org/officeDocument/2006/relationships/hyperlink" Id="rId68" Target="https://doi.org/10.1016/j.jwb.2007.11.009" TargetMode="External" /><Relationship Type="http://schemas.openxmlformats.org/officeDocument/2006/relationships/hyperlink" Id="rId55" Target="https://doi.org/10.1016/j.jwb.2017.11.003" TargetMode="External" /><Relationship Type="http://schemas.openxmlformats.org/officeDocument/2006/relationships/hyperlink" Id="rId62" Target="https://doi.org/10.1057/jibs.2009.24" TargetMode="External" /><Relationship Type="http://schemas.openxmlformats.org/officeDocument/2006/relationships/hyperlink" Id="rId67" Target="https://doi.org/10.1057/jibs.2016.7" TargetMode="External" /><Relationship Type="http://schemas.openxmlformats.org/officeDocument/2006/relationships/hyperlink" Id="rId53" Target="https://doi.org/10.1057/palgrave.jibs.8400003" TargetMode="External" /><Relationship Type="http://schemas.openxmlformats.org/officeDocument/2006/relationships/hyperlink" Id="rId57" Target="https://doi.org/10.1057/palgrave.jibs.8490065" TargetMode="External" /><Relationship Type="http://schemas.openxmlformats.org/officeDocument/2006/relationships/hyperlink" Id="rId61" Target="https://doi.org/10.1057/palgrave.jibs.8490676" TargetMode="External" /><Relationship Type="http://schemas.openxmlformats.org/officeDocument/2006/relationships/hyperlink" Id="rId65" Target="https://doi.org/10.1080/00031305.2000.10474549" TargetMode="External" /><Relationship Type="http://schemas.openxmlformats.org/officeDocument/2006/relationships/hyperlink" Id="rId64" Target="https://doi.org/10.1111/j.1468-0084.2009.00569.x" TargetMode="External" /><Relationship Type="http://schemas.openxmlformats.org/officeDocument/2006/relationships/hyperlink" Id="rId49" Target="https://doi.org/10.1177/014920639101700108" TargetMode="External" /><Relationship Type="http://schemas.openxmlformats.org/officeDocument/2006/relationships/hyperlink" Id="rId66" Target="https://doi.org/10.2307/20159604" TargetMode="External" /><Relationship Type="http://schemas.openxmlformats.org/officeDocument/2006/relationships/hyperlink" Id="rId52" Target="https://doi.org/10.2307/2393553" TargetMode="External" /><Relationship Type="http://schemas.openxmlformats.org/officeDocument/2006/relationships/hyperlink" Id="rId60" Target="https://doi.org/10.5465/amr.1984.4277628" TargetMode="External" /><Relationship Type="http://schemas.openxmlformats.org/officeDocument/2006/relationships/hyperlink" Id="rId59" Target="https://doi.org/10.5465/amr.2007.24345254" TargetMode="External" /><Relationship Type="http://schemas.openxmlformats.org/officeDocument/2006/relationships/hyperlink" Id="rId71" Target="https://www.enterprisesurveys.org" TargetMode="External" /><Relationship Type="http://schemas.openxmlformats.org/officeDocument/2006/relationships/hyperlink" Id="rId72" Target="https://www.worldbank.org/ext/en/country/vietn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2026-05-16T09:49:39Z</dcterms:created>
  <dcterms:modified xsi:type="dcterms:W3CDTF">2026-05-16T09:49:39Z</dcterms:modified>
</cp:coreProperties>
</file>

<file path=docProps/custom.xml><?xml version="1.0" encoding="utf-8"?>
<Properties xmlns="http://schemas.openxmlformats.org/officeDocument/2006/custom-properties" xmlns:vt="http://schemas.openxmlformats.org/officeDocument/2006/docPropsVTypes"/>
</file>