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276" w:lineRule="auto"/>
      </w:pPr>
      <w:r>
        <w:rPr>
          <w:b/>
          <w:sz w:val="18"/>
          <w:color w:val="57534C"/>
        </w:rPr>
        <w:t xml:space="preserve">BẢN NHÁP MẪU · SAMPLE DRAFT — Gravity Lab Pro</w:t>
      </w:r>
    </w:p>
    <w:p>
      <w:pPr>
        <w:spacing w:after="240" w:line="276" w:lineRule="auto"/>
      </w:pPr>
      <w:r>
        <w:rPr>
          <w:b/>
          <w:sz w:val="32"/>
        </w:rPr>
        <w:t xml:space="preserve">Chương 4. Kết quả ước lượng</w:t>
      </w:r>
    </w:p>
    <w:p>
      <w:pPr>
        <w:spacing w:after="120" w:line="276" w:lineRule="auto"/>
      </w:pPr>
      <w:r>
        <w:rPr>
          <w:b/>
          <w:sz w:val="26"/>
        </w:rPr>
        <w:t xml:space="preserve">4.1 Các yếu tố tác động đến dòng vốn FDI vào Việt Nam</w:t>
      </w:r>
    </w:p>
    <w:p>
      <w:pPr>
        <w:spacing w:after="0" w:line="276" w:lineRule="auto"/>
      </w:pPr>
      <w:r>
        <w:rPr>
          <w:b/>
          <w:sz w:val="22"/>
        </w:rPr>
        <w:t xml:space="preserve">Bảng 6</w:t>
      </w:r>
    </w:p>
    <w:p>
      <w:pPr>
        <w:spacing w:after="120" w:line="276" w:lineRule="auto"/>
      </w:pPr>
      <w:r>
        <w:rPr>
          <w:i/>
          <w:sz w:val="22"/>
        </w:rPr>
        <w:t xml:space="preserve">Các yếu tố tác động đến FDI vào Việt Nam (tác động ngẫu nhiên, N = 159)</w:t>
      </w:r>
    </w:p>
    <w:tbl>
      <w:tblPr>
        <w:tblW w:w="8400" w:type="dxa"/>
        <w:tblLayout w:type="fixed"/>
      </w:tblPr>
      <w:tblGrid>
        <w:gridCol w:w="5400"/>
        <w:gridCol w:w="1500"/>
        <w:gridCol w:w="1500"/>
      </w:tblGrid>
      <w:tr>
        <w:tc>
          <w:tcPr>
            <w:tcW w:w="5400" w:type="dxa"/>
            <w:tcBorders>
              <w:top w:val="single" w:sz="12" w:color="1B1F24"/>
              <w:bottom w:val="single" w:sz="6" w:color="1B1F24"/>
            </w:tcBorders>
          </w:tcPr>
          <w:p>
            <w:pPr>
              <w:jc w:val="left"/>
              <w:spacing w:after="40" w:line="276" w:lineRule="auto"/>
            </w:pPr>
            <w:r>
              <w:rPr>
                <w:b/>
                <w:sz w:val="20"/>
              </w:rPr>
              <w:t xml:space="preserve">Biến (Variable)</w:t>
            </w:r>
          </w:p>
        </w:tc>
        <w:tc>
          <w:tcPr>
            <w:tcW w:w="1500" w:type="dxa"/>
            <w:tcBorders>
              <w:top w:val="single" w:sz="12" w:color="1B1F24"/>
              <w:bottom w:val="single" w:sz="6" w:color="1B1F24"/>
            </w:tcBorders>
          </w:tcPr>
          <w:p>
            <w:pPr>
              <w:jc w:val="right"/>
              <w:spacing w:after="40" w:line="276" w:lineRule="auto"/>
            </w:pPr>
            <w:r>
              <w:rPr>
                <w:b/>
                <w:sz w:val="20"/>
              </w:rPr>
              <w:t xml:space="preserve">β</w:t>
            </w:r>
          </w:p>
        </w:tc>
        <w:tc>
          <w:tcPr>
            <w:tcW w:w="1500" w:type="dxa"/>
            <w:tcBorders>
              <w:top w:val="single" w:sz="12" w:color="1B1F24"/>
              <w:bottom w:val="single" w:sz="6" w:color="1B1F24"/>
            </w:tcBorders>
          </w:tcPr>
          <w:p>
            <w:pPr>
              <w:jc w:val="right"/>
              <w:spacing w:after="40" w:line="276" w:lineRule="auto"/>
            </w:pPr>
            <w:r>
              <w:rPr>
                <w:b/>
                <w:sz w:val="20"/>
              </w:rPr>
              <w:t xml:space="preserve">SE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FDI năm trước (Lagged FDI)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0,45***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(0,07)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Khoảng cách địa lý (Geographic distance)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−0,38**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(0,19)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Khoảng cách thể chế (Institutional distance)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0,12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(0,08)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Khoảng cách văn hóa (Cultural distance)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0,03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(0,17)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Khoảng cách kinh tế (Economic distance)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0,33**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(0,19)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GDP Việt Nam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−0,87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(1,13)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GDP đối tác (Partner GDP)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−0,25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(0,27)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Độ mở (Openness)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2,89**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(1,37)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Xuất khẩu (Exports)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0,11**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(0,63)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Tham nhũng (Corruption)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−1,54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(1,48)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FTA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1,01***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(0,28)</w:t>
            </w:r>
          </w:p>
        </w:tc>
      </w:tr>
      <w:tr>
        <w:tc>
          <w:tcPr>
            <w:tcW w:w="5400" w:type="dxa"/>
            <w:tcBorders>
              <w:bottom w:val="single" w:sz="12" w:color="1B1F24"/>
            </w:tcBorders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Hằng số (Constant)</w:t>
            </w:r>
          </w:p>
        </w:tc>
        <w:tc>
          <w:tcPr>
            <w:tcW w:w="1500" w:type="dxa"/>
            <w:tcBorders>
              <w:bottom w:val="single" w:sz="12" w:color="1B1F24"/>
            </w:tcBorders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8,32**</w:t>
            </w:r>
          </w:p>
        </w:tc>
        <w:tc>
          <w:tcPr>
            <w:tcW w:w="1500" w:type="dxa"/>
            <w:tcBorders>
              <w:bottom w:val="single" w:sz="12" w:color="1B1F24"/>
            </w:tcBorders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(4,72)</w:t>
            </w:r>
          </w:p>
        </w:tc>
      </w:tr>
      <w:tr>
        <w:tc>
          <w:tcPr>
            <w:tcW w:w="54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>N</w:t>
            </w:r>
          </w:p>
        </w:tc>
        <w:tc>
          <w:tcPr>
            <w:tcW w:w="1500" w:type="dxa"/>
            <w:tcBorders/>
          </w:tcPr>
          <w:p>
            <w:pPr>
              <w:jc w:val="right"/>
              <w:spacing w:after="40" w:line="276" w:lineRule="auto"/>
            </w:pPr>
            <w:r>
              <w:rPr>
                <w:sz w:val="20"/>
              </w:rPr>
              <w:t xml:space="preserve">159</w:t>
            </w:r>
          </w:p>
        </w:tc>
        <w:tc>
          <w:tcPr>
            <w:tcW w:w="1500" w:type="dxa"/>
            <w:tcBorders/>
          </w:tcPr>
          <w:p>
            <w:pPr>
              <w:jc w:val="left"/>
              <w:spacing w:after="40" w:line="276" w:lineRule="auto"/>
            </w:pPr>
            <w:r>
              <w:rPr>
                <w:sz w:val="20"/>
              </w:rPr>
              <w:t xml:space="preserve"/>
            </w:r>
          </w:p>
        </w:tc>
      </w:tr>
    </w:tbl>
    <w:p>
      <w:pPr>
        <w:spacing w:after="240" w:line="276" w:lineRule="auto"/>
      </w:pPr>
      <w:r>
        <w:rPr>
          <w:sz w:val="18"/>
          <w:color w:val="57534C"/>
        </w:rPr>
        <w:t xml:space="preserve">Ghi chú. Sai số chuẩn trong ngoặc. ** p &lt; 0,05; *** p &lt; 0,01. Biến phụ thuộc: ln FDI. Phỏng theo Phan và Do (2019), Mô hình 8.</w:t>
      </w:r>
    </w:p>
    <w:p>
      <w:pPr>
        <w:spacing w:after="120" w:line="276" w:lineRule="auto"/>
      </w:pPr>
      <w:r>
        <w:rPr>
          <w:b/>
          <w:sz w:val="24"/>
        </w:rPr>
        <w:t xml:space="preserve">Diễn giải</w:t>
      </w:r>
    </w:p>
    <w:p>
      <w:pPr>
        <w:spacing w:after="120" w:line="320" w:lineRule="auto"/>
      </w:pPr>
      <w:r>
        <w:rPr>
          <w:sz w:val="22"/>
        </w:rPr>
        <w:t xml:space="preserve">Hệ số khoảng cách địa lý β = −0,38 (p &lt; 0,05) là độ co giãn: khi khoảng cách tăng 10%, FDI vào Việt Nam giảm khoảng 1,1^(−0,38) − 1 ≈ −3,6%, các yếu tố khác không đổi. Mức tác động này nhỏ hơn nhiều so với thương mại hàng hóa (trung bình khoảng −0,9; Disdier và Head, 2008), cho thấy vốn đầu tư ít nhạy với khoảng cách hơn dòng hàng. Hiệp định thương mại tự do có tác động dương và có ý nghĩa thống kê (β = 1,01; p &lt; 0,01), tương ứng FDI cao hơn khoảng e^1,01 − 1 ≈ 175% với các đối tác có FTA. FDI năm trước (β = 0,45; p &lt; 0,01) cho thấy tính quán tính của dòng vốn.</w:t>
      </w:r>
    </w:p>
    <w:p>
      <w:pPr>
        <w:spacing w:after="120" w:line="276" w:lineRule="auto"/>
      </w:pPr>
      <w:r>
        <w:rPr>
          <w:b/>
          <w:sz w:val="24"/>
        </w:rPr>
        <w:t xml:space="preserve">Interpretation (EN)</w:t>
      </w:r>
    </w:p>
    <w:p>
      <w:pPr>
        <w:spacing w:after="240" w:line="320" w:lineRule="auto"/>
      </w:pPr>
      <w:r>
        <w:rPr>
          <w:sz w:val="22"/>
        </w:rPr>
        <w:t xml:space="preserve">The geographic distance coefficient β = −0.38 (p &lt; .05) is an elasticity: a 10% increase in distance is associated with about 1.1^(−0.38) − 1 ≈ −3.6% FDI into Viet Nam, other things equal. This is far smaller than the typical effect on goods trade (mean near −0.9; Disdier &amp; Head, 2008), so capital is less sensitive to distance than trade flows. Free trade agreements have a positive, significant effect (β = 1.01; p &lt; .01), about e^1.01 − 1 ≈ 175% more FDI from FTA partners. Lagged FDI (β = 0.45; p &lt; .01) indicates persistence.</w:t>
      </w:r>
    </w:p>
    <w:p>
      <w:pPr>
        <w:spacing w:after="120" w:line="276" w:lineRule="auto"/>
      </w:pPr>
      <w:r>
        <w:rPr>
          <w:b/>
          <w:sz w:val="24"/>
        </w:rPr>
        <w:t xml:space="preserve">Tài liệu tham khảo</w:t>
      </w:r>
    </w:p>
    <w:p>
      <w:pPr>
        <w:ind w:left="720" w:hanging="720"/>
        <w:spacing w:after="120" w:line="276" w:lineRule="auto"/>
      </w:pPr>
      <w:r>
        <w:rPr>
          <w:sz w:val="22"/>
        </w:rPr>
        <w:t xml:space="preserve">Disdier, A.-C., &amp; Head, K. (2008). The puzzling persistence of the distance effect on bilateral trade. </w:t>
      </w:r>
      <w:r>
        <w:rPr>
          <w:i/>
          <w:sz w:val="22"/>
        </w:rPr>
        <w:t xml:space="preserve">The Review of Economics and Statistics, 90</w:t>
      </w:r>
      <w:r>
        <w:rPr>
          <w:sz w:val="22"/>
        </w:rPr>
        <w:t xml:space="preserve">(1), 37–48.</w:t>
      </w:r>
    </w:p>
    <w:p>
      <w:pPr>
        <w:ind w:left="720" w:hanging="720"/>
        <w:spacing w:after="120" w:line="276" w:lineRule="auto"/>
      </w:pPr>
      <w:r>
        <w:rPr>
          <w:sz w:val="22"/>
        </w:rPr>
        <w:t xml:space="preserve">Phan, A. T., &amp; Do, T. H. (2019). </w:t>
      </w:r>
      <w:r>
        <w:rPr>
          <w:i/>
          <w:sz w:val="22"/>
        </w:rPr>
        <w:t xml:space="preserve">Tạp chí Kinh tế Đối ngoại</w:t>
      </w:r>
      <w:r>
        <w:rPr>
          <w:sz w:val="22"/>
        </w:rPr>
        <w:t xml:space="preserve">, (114), 14–26.</w:t>
      </w:r>
    </w:p>
    <w:p>
      <w:pPr>
        <w:ind w:left="720" w:hanging="720"/>
        <w:spacing w:after="360" w:line="276" w:lineRule="auto"/>
      </w:pPr>
      <w:r>
        <w:rPr>
          <w:sz w:val="22"/>
        </w:rPr>
        <w:t xml:space="preserve">Santos Silva, J. M. C., &amp; Tenreyro, S. (2006). The log of gravity. </w:t>
      </w:r>
      <w:r>
        <w:rPr>
          <w:i/>
          <w:sz w:val="22"/>
        </w:rPr>
        <w:t xml:space="preserve">The Review of Economics and Statistics, 88</w:t>
      </w:r>
      <w:r>
        <w:rPr>
          <w:sz w:val="22"/>
        </w:rPr>
        <w:t xml:space="preserve">(4), 641–658.</w:t>
      </w:r>
    </w:p>
    <w:p>
      <w:pPr>
        <w:spacing w:after="120" w:line="276" w:lineRule="auto"/>
      </w:pPr>
      <w:r>
        <w:rPr>
          <w:sz w:val="16"/>
          <w:color w:val="57534C"/>
        </w:rPr>
        <w:t xml:space="preserve">Tạo bởi Gravity Lab (Phan &amp; Do, 2026), https://doi.org/10.5281/zenodo.23307832. Bản mẫu minh họa định dạng; hãy kiểm tra lại số liệu với dữ liệu của bạn.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lang w:val="vi-VN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