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30"/>
        </w:rPr>
        <w:t>BÀI ÔN TẬP TỰ LUẬN</w:t>
      </w:r>
    </w:p>
    <w:p>
      <w:pPr>
        <w:spacing w:after="120"/>
        <w:jc w:val="center"/>
      </w:pPr>
      <w:r>
        <w:rPr>
          <w:rFonts w:ascii="Times New Roman" w:hAnsi="Times New Roman"/>
          <w:b/>
          <w:i w:val="0"/>
          <w:sz w:val="28"/>
        </w:rPr>
        <w:t>CHƯƠNG 5: KỸ THUẬT SOẠN THẢO VÀ TRÌNH BÀY VĂN BẢN TRONG KINH DOANH</w:t>
      </w:r>
    </w:p>
    <w:p>
      <w:pPr>
        <w:spacing w:after="40"/>
        <w:jc w:val="center"/>
      </w:pPr>
      <w:r>
        <w:rPr>
          <w:rFonts w:ascii="Times New Roman" w:hAnsi="Times New Roman"/>
          <w:b w:val="0"/>
          <w:i w:val="0"/>
          <w:sz w:val="23"/>
        </w:rPr>
        <w:t>Học phần: Kỹ năng giao tiếp và đàm phán trong kinh doanh (EC6035TX) – Đào tạo từ xa</w:t>
      </w:r>
    </w:p>
    <w:p>
      <w:pPr>
        <w:spacing w:after="160"/>
        <w:jc w:val="center"/>
      </w:pPr>
      <w:r>
        <w:rPr>
          <w:rFonts w:ascii="Times New Roman" w:hAnsi="Times New Roman"/>
          <w:b w:val="0"/>
          <w:i w:val="0"/>
          <w:sz w:val="23"/>
        </w:rPr>
        <w:t>Giảng viên biên soạn: Đỗ Thùy Hương – Khoa Kinh doanh và Luật, Trường Đại học Công nghệ Kỹ thuật Vĩnh Long</w:t>
      </w:r>
    </w:p>
    <w:p>
      <w:pPr>
        <w:spacing w:after="240"/>
        <w:jc w:val="center"/>
      </w:pPr>
      <w:r>
        <w:rPr>
          <w:rFonts w:ascii="Times New Roman" w:hAnsi="Times New Roman"/>
          <w:b/>
          <w:i w:val="0"/>
          <w:color w:val="AC4D33"/>
          <w:sz w:val="25"/>
        </w:rPr>
        <w:t>BẢN CÓ ĐÁP ÁN GỢI Ý – DÙNG CHO GIẢNG VIÊN</w:t>
      </w:r>
    </w:p>
    <w:p>
      <w:pPr>
        <w:spacing w:after="80"/>
      </w:pPr>
      <w:r>
        <w:rPr>
          <w:rFonts w:ascii="Times New Roman" w:hAnsi="Times New Roman"/>
          <w:b/>
          <w:i w:val="0"/>
          <w:sz w:val="26"/>
        </w:rPr>
        <w:t>HƯỚNG DẪN SỬ DỤNG BẢN NÀY</w:t>
      </w:r>
    </w:p>
    <w:p>
      <w:pPr>
        <w:spacing w:after="240"/>
      </w:pPr>
      <w:r>
        <w:rPr>
          <w:rFonts w:ascii="Times New Roman" w:hAnsi="Times New Roman"/>
          <w:b w:val="0"/>
          <w:i w:val="0"/>
          <w:sz w:val="23"/>
        </w:rPr>
        <w:t>Đây là bản có đáp án gợi ý, dùng để giảng viên đối chiếu khi chấm hoặc thảo luận trên lớp — không phát cho sinh viên (bản phát cho sinh viên là tệp "BAN DE (SV)" trong cùng thư mục, chỉ có câu hỏi và khung tự kiểm). Đáp án dưới đây là đáp án gợi ý theo hướng bài làm tốt, không phải văn bản mẫu duy nhất — bài làm của sinh viên diễn đạt khác miễn đủ ý và đúng thể thức vẫn được chấp nhận.</w:t>
      </w:r>
    </w:p>
    <w:p>
      <w:pPr>
        <w:spacing w:after="120"/>
      </w:pPr>
      <w:r>
        <w:rPr>
          <w:rFonts w:ascii="Times New Roman" w:hAnsi="Times New Roman"/>
          <w:b/>
          <w:i w:val="0"/>
          <w:sz w:val="26"/>
        </w:rPr>
        <w:t>5.1 — Khái niệm và phân loại văn bản</w:t>
      </w:r>
    </w:p>
    <w:p>
      <w:pPr>
        <w:spacing w:after="80"/>
      </w:pPr>
      <w:r>
        <w:rPr>
          <w:rFonts w:ascii="Times New Roman" w:hAnsi="Times New Roman"/>
          <w:b w:val="0"/>
          <w:i w:val="0"/>
          <w:sz w:val="24"/>
        </w:rPr>
        <w:t>Câu 1. Phân biệt ba nhóm văn bản: quy phạm pháp luật, hành chính và chuyên ngành. Với mỗi nhóm, nêu một ví dụ thực tế và cho biết ai có thẩm quyền ban hành. Vì sao nhầm nhóm ngay từ đầu lại kéo theo sai thẩm quyền và sai thể thức?</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Nêu đúng đặc điểm phân biệt của cả ba nhóm (không chỉ liệt kê tên loại)</w:t>
      </w:r>
    </w:p>
    <w:p>
      <w:pPr>
        <w:spacing w:after="40"/>
        <w:ind w:left="567"/>
      </w:pPr>
      <w:r>
        <w:rPr>
          <w:rFonts w:ascii="Times New Roman" w:hAnsi="Times New Roman"/>
          <w:i/>
          <w:sz w:val="22"/>
        </w:rPr>
        <w:t>– Ví dụ thực tế, không chép nguyên ví dụ trong slide</w:t>
      </w:r>
    </w:p>
    <w:p>
      <w:pPr>
        <w:spacing w:after="40"/>
        <w:ind w:left="567"/>
      </w:pPr>
      <w:r>
        <w:rPr>
          <w:rFonts w:ascii="Times New Roman" w:hAnsi="Times New Roman"/>
          <w:i/>
          <w:sz w:val="22"/>
        </w:rPr>
        <w:t>– Giải thích được hệ quả khi chọn sai nhóm — không chỉ nói "sẽ sai"</w:t>
      </w:r>
    </w:p>
    <w:p>
      <w:pPr>
        <w:spacing w:before="80" w:after="40"/>
        <w:ind w:left="283"/>
      </w:pPr>
      <w:r>
        <w:rPr>
          <w:rFonts w:ascii="Times New Roman" w:hAnsi="Times New Roman"/>
          <w:b/>
          <w:color w:val="AC4D33"/>
          <w:sz w:val="23"/>
        </w:rPr>
        <w:t>Đáp án gợi ý:</w:t>
      </w:r>
    </w:p>
    <w:p>
      <w:pPr>
        <w:spacing w:after="120"/>
        <w:ind w:left="283"/>
      </w:pPr>
      <w:r>
        <w:rPr>
          <w:rFonts w:ascii="Times New Roman" w:hAnsi="Times New Roman"/>
          <w:sz w:val="23"/>
        </w:rPr>
        <w:t>Văn bản quy phạm pháp luật chứa quy tắc xử sự chung, áp dụng nhiều lần cho nhiều đối tượng, chỉ do cơ quan nhà nước có thẩm quyền ban hành theo trình tự luật định — ví dụ Nghị định 30/2020/NĐ-CP. Văn bản hành chính thì mọi cơ quan, tổ chức, doanh nghiệp đều ban hành được để điều hành công việc hằng ngày, chỉ áp dụng cho một việc, một người hoặc một nhóm cụ thể — ví dụ quyết định bổ nhiệm, công văn trao đổi giữa hai công ty. Văn bản chuyên ngành hình thành trong nghiệp vụ chuyên môn, do cơ quan quản lý ngành quy định thể thức riêng — ví dụ chứng từ kế toán, hồ sơ mời thầu.</w:t>
      </w:r>
    </w:p>
    <w:p>
      <w:pPr>
        <w:spacing w:after="280"/>
        <w:ind w:left="283"/>
      </w:pPr>
      <w:r>
        <w:rPr>
          <w:rFonts w:ascii="Times New Roman" w:hAnsi="Times New Roman"/>
          <w:sz w:val="23"/>
        </w:rPr>
        <w:t>Nhầm nhóm kéo theo sai thẩm quyền vì doanh nghiệp không có quyền ban hành văn bản quy phạm pháp luật; đồng thời sai luôn thể thức, vì mỗi nhóm có quy định trình bày riêng — dùng thể thức của nhóm này cho nhóm khác khiến văn bản không đúng chuẩn, thậm chí không được công nhận giá trị khi bị kiểm tra hay tranh chấp.</w:t>
      </w:r>
    </w:p>
    <w:p>
      <w:pPr>
        <w:spacing w:after="80"/>
      </w:pPr>
      <w:r>
        <w:rPr>
          <w:rFonts w:ascii="Times New Roman" w:hAnsi="Times New Roman"/>
          <w:b w:val="0"/>
          <w:i w:val="0"/>
          <w:sz w:val="24"/>
        </w:rPr>
        <w:t>Câu 2. Văn bản khác lời nói miệng ở điểm nào, và vì sao doanh nghiệp vẫn cần văn bản dù các bên đã thống nhất miệng với nhau? Liên hệ một tình huống em từng gặp (học tập, làm thêm, hoặc gia đình) mà việc không ghi thành văn bản đã gây khó khăn khi có tranh chấp hoặc hiểu lầm.</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Nêu đúng khái niệm "thành văn" theo Nghị định 30/2020</w:t>
      </w:r>
    </w:p>
    <w:p>
      <w:pPr>
        <w:spacing w:after="40"/>
        <w:ind w:left="567"/>
      </w:pPr>
      <w:r>
        <w:rPr>
          <w:rFonts w:ascii="Times New Roman" w:hAnsi="Times New Roman"/>
          <w:i/>
          <w:sz w:val="22"/>
        </w:rPr>
        <w:t>– Tình huống liên hệ là thật, không phải suy diễn chung chung</w:t>
      </w:r>
    </w:p>
    <w:p>
      <w:pPr>
        <w:spacing w:after="40"/>
        <w:ind w:left="567"/>
      </w:pPr>
      <w:r>
        <w:rPr>
          <w:rFonts w:ascii="Times New Roman" w:hAnsi="Times New Roman"/>
          <w:i/>
          <w:sz w:val="22"/>
        </w:rPr>
        <w:t>– Chỉ ra cụ thể văn bản (nếu có) sẽ giải quyết được khó khăn đó thế nào</w:t>
      </w:r>
    </w:p>
    <w:p>
      <w:pPr>
        <w:spacing w:before="80" w:after="40"/>
        <w:ind w:left="283"/>
      </w:pPr>
      <w:r>
        <w:rPr>
          <w:rFonts w:ascii="Times New Roman" w:hAnsi="Times New Roman"/>
          <w:b/>
          <w:color w:val="AC4D33"/>
          <w:sz w:val="23"/>
        </w:rPr>
        <w:t>Đáp án gợi ý:</w:t>
      </w:r>
    </w:p>
    <w:p>
      <w:pPr>
        <w:spacing w:after="120"/>
        <w:ind w:left="283"/>
      </w:pPr>
      <w:r>
        <w:rPr>
          <w:rFonts w:ascii="Times New Roman" w:hAnsi="Times New Roman"/>
          <w:sz w:val="23"/>
        </w:rPr>
        <w:t>Theo Nghị định 30/2020/NĐ-CP, văn bản là thông tin "thành văn" — được ghi lại bằng ngôn ngữ hoặc ký hiệu, có thể lưu trữ và đối chiếu. Lời nói miệng thì không để lại bằng chứng: khi có tranh chấp, không ai chứng minh được nội dung đã thoả thuận là gì, dễ dẫn đến "nói một đằng, hiểu một nẻo".</w:t>
      </w:r>
    </w:p>
    <w:p>
      <w:pPr>
        <w:spacing w:after="280"/>
        <w:ind w:left="283"/>
      </w:pPr>
      <w:r>
        <w:rPr>
          <w:rFonts w:ascii="Times New Roman" w:hAnsi="Times New Roman"/>
          <w:sz w:val="23"/>
        </w:rPr>
        <w:t>Ví dụ liên hệ: một buổi làm thêm được quản lý hẹn miệng tăng ca cuối tuần nhưng không có thông báo hay bảng phân công bằng văn bản; đến lúc tính lương, hai bên nhớ khác nhau về số giờ đã làm. Nếu có một thông báo phân ca hoặc bảng chấm công ghi rõ ngày giờ, tranh chấp này sẽ có căn cứ để đối chiếu ngay, không cần suy đoán ai nhớ đúng hơn.</w:t>
      </w:r>
    </w:p>
    <w:p>
      <w:pPr>
        <w:spacing w:after="120"/>
      </w:pPr>
      <w:r>
        <w:rPr>
          <w:rFonts w:ascii="Times New Roman" w:hAnsi="Times New Roman"/>
          <w:b/>
          <w:i w:val="0"/>
          <w:sz w:val="26"/>
        </w:rPr>
        <w:t>5.2 — Yêu cầu nội dung và thể thức văn bản</w:t>
      </w:r>
    </w:p>
    <w:p>
      <w:pPr>
        <w:spacing w:after="80"/>
      </w:pPr>
      <w:r>
        <w:rPr>
          <w:rFonts w:ascii="Times New Roman" w:hAnsi="Times New Roman"/>
          <w:b w:val="0"/>
          <w:i w:val="0"/>
          <w:sz w:val="24"/>
        </w:rPr>
        <w:t>Câu 3. Liệt kê đủ chín thành phần thể thức bắt buộc của văn bản hành chính theo Nghị định 30/2020/NĐ-CP. Tìm một văn bản hành chính thật (thông báo của trường, quyết định, công văn...) và chỉ ra văn bản đó đang thiếu hoặc trình bày sai thành phần nào, nếu có.</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Đủ chín thành phần, đúng thứ tự</w:t>
      </w:r>
    </w:p>
    <w:p>
      <w:pPr>
        <w:spacing w:after="40"/>
        <w:ind w:left="567"/>
      </w:pPr>
      <w:r>
        <w:rPr>
          <w:rFonts w:ascii="Times New Roman" w:hAnsi="Times New Roman"/>
          <w:i/>
          <w:sz w:val="22"/>
        </w:rPr>
        <w:t>– Văn bản đối chiếu là văn bản thật, có thể mô tả lại hoặc đính kèm</w:t>
      </w:r>
    </w:p>
    <w:p>
      <w:pPr>
        <w:spacing w:after="40"/>
        <w:ind w:left="567"/>
      </w:pPr>
      <w:r>
        <w:rPr>
          <w:rFonts w:ascii="Times New Roman" w:hAnsi="Times New Roman"/>
          <w:i/>
          <w:sz w:val="22"/>
        </w:rPr>
        <w:t>– Nhận xét cụ thể theo từng thành phần, không nhận xét chung chung "đầy đủ"</w:t>
      </w:r>
    </w:p>
    <w:p>
      <w:pPr>
        <w:spacing w:before="80" w:after="40"/>
        <w:ind w:left="283"/>
      </w:pPr>
      <w:r>
        <w:rPr>
          <w:rFonts w:ascii="Times New Roman" w:hAnsi="Times New Roman"/>
          <w:b/>
          <w:color w:val="AC4D33"/>
          <w:sz w:val="23"/>
        </w:rPr>
        <w:t>Đáp án gợi ý:</w:t>
      </w:r>
    </w:p>
    <w:p>
      <w:pPr>
        <w:spacing w:after="120"/>
        <w:ind w:left="283"/>
      </w:pPr>
      <w:r>
        <w:rPr>
          <w:rFonts w:ascii="Times New Roman" w:hAnsi="Times New Roman"/>
          <w:sz w:val="23"/>
        </w:rPr>
        <w:t>Chín thành phần bắt buộc: (1) Quốc hiệu và Tiêu ngữ; (2) tên cơ quan, tổ chức ban hành; (3) số, ký hiệu của văn bản; (4) địa danh và thời gian ban hành; (5) tên loại và trích yếu nội dung; (6) nội dung văn bản; (7) chức vụ, họ tên và chữ ký của người có thẩm quyền; (8) dấu, chữ ký số của cơ quan; (9) nơi nhận.</w:t>
      </w:r>
    </w:p>
    <w:p>
      <w:pPr>
        <w:spacing w:after="280"/>
        <w:ind w:left="283"/>
      </w:pPr>
      <w:r>
        <w:rPr>
          <w:rFonts w:ascii="Times New Roman" w:hAnsi="Times New Roman"/>
          <w:sz w:val="23"/>
        </w:rPr>
        <w:t>Ví dụ đối chiếu: một thông báo lịch nghỉ dán ở bảng tin lớp học thường chỉ có tiêu đề và nội dung, thiếu hẳn số/ký hiệu văn bản và phần "nơi nhận" — đây là hai thành phần sinh viên hay bỏ sót nhất khi tự soạn thông báo nội bộ, vì cho rằng thông báo nhỏ không cần đủ thể thức như văn bản chính thức.</w:t>
      </w:r>
    </w:p>
    <w:p>
      <w:pPr>
        <w:spacing w:after="80"/>
      </w:pPr>
      <w:r>
        <w:rPr>
          <w:rFonts w:ascii="Times New Roman" w:hAnsi="Times New Roman"/>
          <w:b w:val="0"/>
          <w:i w:val="0"/>
          <w:sz w:val="24"/>
        </w:rPr>
        <w:t>Câu 4. Viết lại đoạn sau theo đúng phong cách hành chính — rõ ràng, đúng yêu cầu, đúng thẩm quyền: “Kính mong Quý Công ty quan tâm, tạo điều kiện giúp đỡ và sớm phản hồi cho chúng tôi trong thời gian sớm nhất có thể.” Giải thích ngắn gọn vì sao bản viết lại của em rõ ràng hơn bản gốc.</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Bản viết lại nêu rõ: làm gì, cho ai, thời hạn nào</w:t>
      </w:r>
    </w:p>
    <w:p>
      <w:pPr>
        <w:spacing w:after="40"/>
        <w:ind w:left="567"/>
      </w:pPr>
      <w:r>
        <w:rPr>
          <w:rFonts w:ascii="Times New Roman" w:hAnsi="Times New Roman"/>
          <w:i/>
          <w:sz w:val="22"/>
        </w:rPr>
        <w:t>– Không dùng khẩu ngữ hoặc câu chữ mơ hồ</w:t>
      </w:r>
    </w:p>
    <w:p>
      <w:pPr>
        <w:spacing w:after="40"/>
        <w:ind w:left="567"/>
      </w:pPr>
      <w:r>
        <w:rPr>
          <w:rFonts w:ascii="Times New Roman" w:hAnsi="Times New Roman"/>
          <w:i/>
          <w:sz w:val="22"/>
        </w:rPr>
        <w:t>– Giải thích đúng trọng tâm: rõ ràng vì có thể hành động ngay, không phải vì "lịch sự hơn"</w:t>
      </w:r>
    </w:p>
    <w:p>
      <w:pPr>
        <w:spacing w:before="80" w:after="40"/>
        <w:ind w:left="283"/>
      </w:pPr>
      <w:r>
        <w:rPr>
          <w:rFonts w:ascii="Times New Roman" w:hAnsi="Times New Roman"/>
          <w:b/>
          <w:color w:val="AC4D33"/>
          <w:sz w:val="23"/>
        </w:rPr>
        <w:t>Đáp án gợi ý:</w:t>
      </w:r>
    </w:p>
    <w:p>
      <w:pPr>
        <w:spacing w:after="120"/>
        <w:ind w:left="283"/>
      </w:pPr>
      <w:r>
        <w:rPr>
          <w:rFonts w:ascii="Times New Roman" w:hAnsi="Times New Roman"/>
          <w:sz w:val="23"/>
        </w:rPr>
        <w:t>Viết lại: "Đề nghị Quý Công ty gửi báo giá mười bộ máy tính về Công ty An Phát trước ngày 15 tháng 9 năm 2026."</w:t>
      </w:r>
    </w:p>
    <w:p>
      <w:pPr>
        <w:spacing w:after="280"/>
        <w:ind w:left="283"/>
      </w:pPr>
      <w:r>
        <w:rPr>
          <w:rFonts w:ascii="Times New Roman" w:hAnsi="Times New Roman"/>
          <w:sz w:val="23"/>
        </w:rPr>
        <w:t>Bản viết lại rõ ràng hơn vì nêu đủ ba điều người đọc cần để hành động ngay: làm gì (gửi báo giá mười bộ máy tính), cho ai (Công ty An Phát), hạn nào (15/9/2026). Bản gốc chỉ bày tỏ mong muốn chung chung ("mong quan tâm, sớm phản hồi"), người nhận không biết cụ thể phải làm gì và đến khi nào — đây chính là điểm khác "đúng thẩm quyền, đúng mục đích" đã học ở mục 5.2.</w:t>
      </w:r>
    </w:p>
    <w:p>
      <w:pPr>
        <w:spacing w:after="120"/>
      </w:pPr>
      <w:r>
        <w:rPr>
          <w:rFonts w:ascii="Times New Roman" w:hAnsi="Times New Roman"/>
          <w:b/>
          <w:i w:val="0"/>
          <w:sz w:val="26"/>
        </w:rPr>
        <w:t>5.3 — Soạn thảo văn bản hành chính thông dụng</w:t>
      </w:r>
    </w:p>
    <w:p>
      <w:pPr>
        <w:spacing w:after="80"/>
      </w:pPr>
      <w:r>
        <w:rPr>
          <w:rFonts w:ascii="Times New Roman" w:hAnsi="Times New Roman"/>
          <w:b w:val="0"/>
          <w:i w:val="0"/>
          <w:sz w:val="24"/>
        </w:rPr>
        <w:t>Câu 5. Chọn một tình huống công việc hoặc học tập cụ thể, soạn một trong năm loại văn bản hành chính đã học (quyết định, tờ trình, công văn, biên bản, báo cáo) đúng đủ chín thành phần thể thức. Nêu rõ tình huống trước khi soạn.</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Chọn đúng loại văn bản phù hợp với tình huống (không chọn sai loại rồi mới soạn)</w:t>
      </w:r>
    </w:p>
    <w:p>
      <w:pPr>
        <w:spacing w:after="40"/>
        <w:ind w:left="567"/>
      </w:pPr>
      <w:r>
        <w:rPr>
          <w:rFonts w:ascii="Times New Roman" w:hAnsi="Times New Roman"/>
          <w:i/>
          <w:sz w:val="22"/>
        </w:rPr>
        <w:t>– Đủ thể thức, đúng bố cục nội dung của loại văn bản đó</w:t>
      </w:r>
    </w:p>
    <w:p>
      <w:pPr>
        <w:spacing w:after="40"/>
        <w:ind w:left="567"/>
      </w:pPr>
      <w:r>
        <w:rPr>
          <w:rFonts w:ascii="Times New Roman" w:hAnsi="Times New Roman"/>
          <w:i/>
          <w:sz w:val="22"/>
        </w:rPr>
        <w:t>– Ngôn ngữ hành chính — nghiêm túc, không dùng khẩu ngữ</w:t>
      </w:r>
    </w:p>
    <w:p>
      <w:pPr>
        <w:spacing w:before="80" w:after="40"/>
        <w:ind w:left="283"/>
      </w:pPr>
      <w:r>
        <w:rPr>
          <w:rFonts w:ascii="Times New Roman" w:hAnsi="Times New Roman"/>
          <w:b/>
          <w:color w:val="AC4D33"/>
          <w:sz w:val="23"/>
        </w:rPr>
        <w:t>Đáp án gợi ý:</w:t>
      </w:r>
    </w:p>
    <w:p>
      <w:pPr>
        <w:spacing w:after="120"/>
        <w:ind w:left="283"/>
      </w:pPr>
      <w:r>
        <w:rPr>
          <w:rFonts w:ascii="Times New Roman" w:hAnsi="Times New Roman"/>
          <w:sz w:val="23"/>
        </w:rPr>
        <w:t>Tình huống: Công ty TNHH An Phát cần mua sắm thiết bị mới cho Phòng Kế toán, Giám đốc ra quyết định phê duyệt việc mua sắm.</w:t>
      </w:r>
    </w:p>
    <w:p>
      <w:pPr>
        <w:spacing w:after="280"/>
        <w:ind w:left="283"/>
      </w:pPr>
      <w:r>
        <w:rPr>
          <w:rFonts w:ascii="Times New Roman" w:hAnsi="Times New Roman"/>
          <w:sz w:val="23"/>
        </w:rPr>
        <w:t>Văn bản mẫu (rút gọn theo đủ chín thành phần): Góc trái ghi "CÔNG TY TNHH AN PHÁT", góc phải ghi Quốc hiệu – Tiêu ngữ và địa danh, ngày tháng ban hành. Số hiệu: Số 45/QĐ-ANP. Tên loại và trích yếu: "QUYẾT ĐỊNH — Về việc mua sắm thiết bị Phòng Kế toán". Nội dung nêu căn cứ ban hành, điều 1 (nội dung mua sắm: loại thiết bị, số lượng, kinh phí), điều 2 (đơn vị thực hiện), điều 3 (hiệu lực thi hành). Cuối văn bản: chức vụ — "GIÁM ĐỐC", họ tên người ký — "Nguyễn Văn A", kèm dấu của công ty. Nơi nhận: "Như Điều 3; Lưu VT."</w:t>
      </w:r>
    </w:p>
    <w:p>
      <w:pPr>
        <w:spacing w:after="80"/>
      </w:pPr>
      <w:r>
        <w:rPr>
          <w:rFonts w:ascii="Times New Roman" w:hAnsi="Times New Roman"/>
          <w:b w:val="0"/>
          <w:i w:val="0"/>
          <w:sz w:val="24"/>
        </w:rPr>
        <w:t>Câu 6. So sánh biên bản và báo cáo: điểm giống, điểm khác, và lỗi hay gặp nhất khi người mới học nhầm hai loại này với nhau (ví dụ: viết biên bản mà lại chêm nhận xét, đánh giá chủ quan vào).</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Nêu đúng bản chất khác nhau (ghi lại sự việc đang diễn ra vs. tổng hợp việc đã làm)</w:t>
      </w:r>
    </w:p>
    <w:p>
      <w:pPr>
        <w:spacing w:after="40"/>
        <w:ind w:left="567"/>
      </w:pPr>
      <w:r>
        <w:rPr>
          <w:rFonts w:ascii="Times New Roman" w:hAnsi="Times New Roman"/>
          <w:i/>
          <w:sz w:val="22"/>
        </w:rPr>
        <w:t>– Lỗi nêu ra là lỗi thật, có giải thích vì sao đó là lỗi</w:t>
      </w:r>
    </w:p>
    <w:p>
      <w:pPr>
        <w:spacing w:after="40"/>
        <w:ind w:left="567"/>
      </w:pPr>
      <w:r>
        <w:rPr>
          <w:rFonts w:ascii="Times New Roman" w:hAnsi="Times New Roman"/>
          <w:i/>
          <w:sz w:val="22"/>
        </w:rPr>
        <w:t>– Không nhầm lẫn ngược lại trong chính bài làm của mình</w:t>
      </w:r>
    </w:p>
    <w:p>
      <w:pPr>
        <w:spacing w:before="80" w:after="40"/>
        <w:ind w:left="283"/>
      </w:pPr>
      <w:r>
        <w:rPr>
          <w:rFonts w:ascii="Times New Roman" w:hAnsi="Times New Roman"/>
          <w:b/>
          <w:color w:val="AC4D33"/>
          <w:sz w:val="23"/>
        </w:rPr>
        <w:t>Đáp án gợi ý:</w:t>
      </w:r>
    </w:p>
    <w:p>
      <w:pPr>
        <w:spacing w:after="120"/>
        <w:ind w:left="283"/>
      </w:pPr>
      <w:r>
        <w:rPr>
          <w:rFonts w:ascii="Times New Roman" w:hAnsi="Times New Roman"/>
          <w:sz w:val="23"/>
        </w:rPr>
        <w:t>Điểm giống: cả hai đều là văn bản hành chính, đều dùng để ghi nhận thông tin phục vụ quản lý, điều hành.</w:t>
      </w:r>
    </w:p>
    <w:p>
      <w:pPr>
        <w:spacing w:after="120"/>
        <w:ind w:left="283"/>
      </w:pPr>
      <w:r>
        <w:rPr>
          <w:rFonts w:ascii="Times New Roman" w:hAnsi="Times New Roman"/>
          <w:sz w:val="23"/>
        </w:rPr>
        <w:t>Điểm khác: biên bản ghi lại sự việc đang diễn ra tại một thời điểm cụ thể (nội dung cuộc họp, diễn biến, ý kiến các bên), có chữ ký xác nhận của người tham dự; báo cáo tổng hợp công việc đã làm trong một khoảng thời gian, có thể kèm đánh giá và đề xuất.</w:t>
      </w:r>
    </w:p>
    <w:p>
      <w:pPr>
        <w:spacing w:after="280"/>
        <w:ind w:left="283"/>
      </w:pPr>
      <w:r>
        <w:rPr>
          <w:rFonts w:ascii="Times New Roman" w:hAnsi="Times New Roman"/>
          <w:sz w:val="23"/>
        </w:rPr>
        <w:t>Lỗi hay gặp: viết biên bản cuộc họp mà chêm nhận xét chủ quan như "cuộc họp diễn ra rất hiệu quả, mọi người đều hài lòng" — đây là lỗi vì biên bản phải khách quan, chỉ ghi lại đúng những gì đã diễn ra và đã được phát biểu, việc đánh giá hiệu quả thuộc về báo cáo, không phải biên bản.</w:t>
      </w:r>
    </w:p>
    <w:p>
      <w:pPr>
        <w:spacing w:after="120"/>
      </w:pPr>
      <w:r>
        <w:rPr>
          <w:rFonts w:ascii="Times New Roman" w:hAnsi="Times New Roman"/>
          <w:b/>
          <w:i w:val="0"/>
          <w:sz w:val="26"/>
        </w:rPr>
        <w:t>5.4 — Soạn thảo hợp đồng thương mại</w:t>
      </w:r>
    </w:p>
    <w:p>
      <w:pPr>
        <w:spacing w:after="80"/>
      </w:pPr>
      <w:r>
        <w:rPr>
          <w:rFonts w:ascii="Times New Roman" w:hAnsi="Times New Roman"/>
          <w:b w:val="0"/>
          <w:i w:val="0"/>
          <w:sz w:val="24"/>
        </w:rPr>
        <w:t>Câu 7. Trình bày kết cấu một bản hợp đồng thương mại. Trong các điều khoản đó, điều khoản nào dễ bị soạn sơ sài hoặc bỏ sót nhất trên thực tế, và hậu quả pháp lý nếu thiếu điều khoản ấy khi xảy ra tranh chấp là gì?</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Kết cấu đầy đủ, đúng trình tự các phần chính của hợp đồng</w:t>
      </w:r>
    </w:p>
    <w:p>
      <w:pPr>
        <w:spacing w:after="40"/>
        <w:ind w:left="567"/>
      </w:pPr>
      <w:r>
        <w:rPr>
          <w:rFonts w:ascii="Times New Roman" w:hAnsi="Times New Roman"/>
          <w:i/>
          <w:sz w:val="22"/>
        </w:rPr>
        <w:t>– Chỉ ra đúng điều khoản hay bị bỏ sót (ví dụ: giải quyết tranh chấp, phạt vi phạm)</w:t>
      </w:r>
    </w:p>
    <w:p>
      <w:pPr>
        <w:spacing w:after="40"/>
        <w:ind w:left="567"/>
      </w:pPr>
      <w:r>
        <w:rPr>
          <w:rFonts w:ascii="Times New Roman" w:hAnsi="Times New Roman"/>
          <w:i/>
          <w:sz w:val="22"/>
        </w:rPr>
        <w:t>– Hậu quả nêu ra là hậu quả pháp lý cụ thể, không chỉ nói "sẽ rắc rối"</w:t>
      </w:r>
    </w:p>
    <w:p>
      <w:pPr>
        <w:spacing w:before="80" w:after="40"/>
        <w:ind w:left="283"/>
      </w:pPr>
      <w:r>
        <w:rPr>
          <w:rFonts w:ascii="Times New Roman" w:hAnsi="Times New Roman"/>
          <w:b/>
          <w:color w:val="AC4D33"/>
          <w:sz w:val="23"/>
        </w:rPr>
        <w:t>Đáp án gợi ý:</w:t>
      </w:r>
    </w:p>
    <w:p>
      <w:pPr>
        <w:spacing w:after="120"/>
        <w:ind w:left="283"/>
      </w:pPr>
      <w:r>
        <w:rPr>
          <w:rFonts w:ascii="Times New Roman" w:hAnsi="Times New Roman"/>
          <w:sz w:val="23"/>
        </w:rPr>
        <w:t>Kết cấu chính: căn cứ pháp lý và thông tin các bên; đối tượng hợp đồng; giá và phương thức thanh toán; thời hạn, địa điểm, phương thức giao hàng; quyền và nghĩa vụ các bên; điều khoản phạt vi phạm và bồi thường thiệt hại; điều khoản giải quyết tranh chấp; hiệu lực hợp đồng và chữ ký các bên.</w:t>
      </w:r>
    </w:p>
    <w:p>
      <w:pPr>
        <w:spacing w:after="280"/>
        <w:ind w:left="283"/>
      </w:pPr>
      <w:r>
        <w:rPr>
          <w:rFonts w:ascii="Times New Roman" w:hAnsi="Times New Roman"/>
          <w:sz w:val="23"/>
        </w:rPr>
        <w:t>Điều khoản hay bị bỏ sót nhất là "giải quyết tranh chấp" và "phạt vi phạm — bồi thường thiệt hại", vì nhiều bên soạn hợp đồng nhỏ nghĩ "tin tưởng nhau nên không cần". Hậu quả: khi thực sự có tranh chấp, hai bên không có căn cứ đã thoả thuận về mức bồi thường hay cách xử lý, buộc phải áp dụng quy định mặc định của pháp luật (chưa chắc có lợi cho bên bị thiệt hại) hoặc phải khởi kiện ra toà, kéo dài thời gian và tốn kém hơn nhiều so với việc đã ghi rõ từ đầu.</w:t>
      </w:r>
    </w:p>
    <w:p>
      <w:pPr>
        <w:spacing w:after="80"/>
      </w:pPr>
      <w:r>
        <w:rPr>
          <w:rFonts w:ascii="Times New Roman" w:hAnsi="Times New Roman"/>
          <w:b w:val="0"/>
          <w:i w:val="0"/>
          <w:sz w:val="24"/>
        </w:rPr>
        <w:t>Câu 8. Giả định công ty em mua mười bộ máy tính của một nhà cung cấp. Soạn hai điều khoản “Thanh toán” và “Giải quyết tranh chấp” cho hợp đồng này, ghi rõ số tiền, thời hạn và phương thức xử lý khi có tranh chấp.</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Điều khoản thanh toán có số tiền, thời hạn, phương thức thanh toán cụ thể</w:t>
      </w:r>
    </w:p>
    <w:p>
      <w:pPr>
        <w:spacing w:after="40"/>
        <w:ind w:left="567"/>
      </w:pPr>
      <w:r>
        <w:rPr>
          <w:rFonts w:ascii="Times New Roman" w:hAnsi="Times New Roman"/>
          <w:i/>
          <w:sz w:val="22"/>
        </w:rPr>
        <w:t>– Điều khoản giải quyết tranh chấp nêu rõ trình tự (thương lượng trước, sau đó mới đến đâu)</w:t>
      </w:r>
    </w:p>
    <w:p>
      <w:pPr>
        <w:spacing w:after="40"/>
        <w:ind w:left="567"/>
      </w:pPr>
      <w:r>
        <w:rPr>
          <w:rFonts w:ascii="Times New Roman" w:hAnsi="Times New Roman"/>
          <w:i/>
          <w:sz w:val="22"/>
        </w:rPr>
        <w:t>– Không bỏ trống mục nào bằng cách viết chung chung "theo thỏa thuận hai bên"</w:t>
      </w:r>
    </w:p>
    <w:p>
      <w:pPr>
        <w:spacing w:before="80" w:after="40"/>
        <w:ind w:left="283"/>
      </w:pPr>
      <w:r>
        <w:rPr>
          <w:rFonts w:ascii="Times New Roman" w:hAnsi="Times New Roman"/>
          <w:b/>
          <w:color w:val="AC4D33"/>
          <w:sz w:val="23"/>
        </w:rPr>
        <w:t>Đáp án gợi ý:</w:t>
      </w:r>
    </w:p>
    <w:p>
      <w:pPr>
        <w:spacing w:after="120"/>
        <w:ind w:left="283"/>
      </w:pPr>
      <w:r>
        <w:rPr>
          <w:rFonts w:ascii="Times New Roman" w:hAnsi="Times New Roman"/>
          <w:sz w:val="23"/>
        </w:rPr>
        <w:t>Điều khoản Thanh toán: "Bên B thanh toán cho Bên A tổng số tiền 150.000.000 đồng (Một trăm năm mươi triệu đồng), tương ứng đơn giá 15.000.000 đồng/bộ x mười bộ máy tính, bằng hình thức chuyển khoản vào tài khoản của Bên A trong vòng bảy ngày làm việc kể từ ngày nhận đủ hàng và hoá đơn hợp lệ."</w:t>
      </w:r>
    </w:p>
    <w:p>
      <w:pPr>
        <w:spacing w:after="280"/>
        <w:ind w:left="283"/>
      </w:pPr>
      <w:r>
        <w:rPr>
          <w:rFonts w:ascii="Times New Roman" w:hAnsi="Times New Roman"/>
          <w:sz w:val="23"/>
        </w:rPr>
        <w:t>Điều khoản Giải quyết tranh chấp: "Mọi tranh chấp phát sinh từ hợp đồng này trước hết được hai bên giải quyết thông qua thương lượng, hoà giải. Trường hợp không đạt được thoả thuận trong vòng ba mươi ngày, một trong hai bên có quyền đưa vụ việc ra Toà án nhân dân có thẩm quyền để giải quyết theo quy định của pháp luật."</w:t>
      </w:r>
    </w:p>
    <w:p>
      <w:pPr>
        <w:spacing w:after="120"/>
      </w:pPr>
      <w:r>
        <w:rPr>
          <w:rFonts w:ascii="Times New Roman" w:hAnsi="Times New Roman"/>
          <w:b/>
          <w:i w:val="0"/>
          <w:sz w:val="26"/>
        </w:rPr>
        <w:t>Tổng hợp</w:t>
      </w:r>
    </w:p>
    <w:p>
      <w:pPr>
        <w:spacing w:after="80"/>
      </w:pPr>
      <w:r>
        <w:rPr>
          <w:rFonts w:ascii="Times New Roman" w:hAnsi="Times New Roman"/>
          <w:b w:val="0"/>
          <w:i w:val="0"/>
          <w:sz w:val="24"/>
        </w:rPr>
        <w:t>Câu 9. Các nền tảng số và công cụ AI hỗ trợ soạn thảo văn bản (kiểm tra chính tả, gợi ý câu chữ, soạn nháp tự động...) giúp được đến đâu, và trách nhiệm cuối cùng đối với nội dung, thể thức và tính chính xác của văn bản vẫn thuộc về ai? Lấy một ví dụ minh hoạ.</w:t>
      </w:r>
    </w:p>
    <w:p>
      <w:pPr>
        <w:spacing w:after="40"/>
        <w:ind w:left="283"/>
      </w:pPr>
      <w:r>
        <w:rPr>
          <w:rFonts w:ascii="Times New Roman" w:hAnsi="Times New Roman"/>
          <w:b/>
          <w:i/>
          <w:sz w:val="22"/>
        </w:rPr>
        <w:t>Tự kiểm những ý cần có:</w:t>
      </w:r>
    </w:p>
    <w:p>
      <w:pPr>
        <w:spacing w:after="40"/>
        <w:ind w:left="567"/>
      </w:pPr>
      <w:r>
        <w:rPr>
          <w:rFonts w:ascii="Times New Roman" w:hAnsi="Times New Roman"/>
          <w:i/>
          <w:sz w:val="22"/>
        </w:rPr>
        <w:t>– Nêu đúng giới hạn của công cụ số/AI — hỗ trợ, không thay thế người ký/ban hành</w:t>
      </w:r>
    </w:p>
    <w:p>
      <w:pPr>
        <w:spacing w:after="40"/>
        <w:ind w:left="567"/>
      </w:pPr>
      <w:r>
        <w:rPr>
          <w:rFonts w:ascii="Times New Roman" w:hAnsi="Times New Roman"/>
          <w:i/>
          <w:sz w:val="22"/>
        </w:rPr>
        <w:t>– Khẳng định rõ trách nhiệm cuối cùng thuộc về người có thẩm quyền ký/ban hành</w:t>
      </w:r>
    </w:p>
    <w:p>
      <w:pPr>
        <w:spacing w:after="40"/>
        <w:ind w:left="567"/>
      </w:pPr>
      <w:r>
        <w:rPr>
          <w:rFonts w:ascii="Times New Roman" w:hAnsi="Times New Roman"/>
          <w:i/>
          <w:sz w:val="22"/>
        </w:rPr>
        <w:t>– Ví dụ minh hoạ là tình huống cụ thể, không phải nhận định chung chung</w:t>
      </w:r>
    </w:p>
    <w:p>
      <w:pPr>
        <w:spacing w:before="80" w:after="40"/>
        <w:ind w:left="283"/>
      </w:pPr>
      <w:r>
        <w:rPr>
          <w:rFonts w:ascii="Times New Roman" w:hAnsi="Times New Roman"/>
          <w:b/>
          <w:color w:val="AC4D33"/>
          <w:sz w:val="23"/>
        </w:rPr>
        <w:t>Đáp án gợi ý:</w:t>
      </w:r>
    </w:p>
    <w:p>
      <w:pPr>
        <w:spacing w:after="120"/>
        <w:ind w:left="283"/>
      </w:pPr>
      <w:r>
        <w:rPr>
          <w:rFonts w:ascii="Times New Roman" w:hAnsi="Times New Roman"/>
          <w:sz w:val="23"/>
        </w:rPr>
        <w:t>Công cụ số và AI giúp tăng tốc độ soạn thảo: kiểm tra chính tả/ngữ pháp, gợi ý cách diễn đạt, soạn nháp nhanh theo mẫu có sẵn. Giới hạn của các công cụ này là không hiểu bối cảnh pháp lý cụ thể của từng vụ việc, không chịu trách nhiệm về nội dung, và có thể đưa ra thông tin sai (ví dụ trích dẫn nhầm số hiệu văn bản pháp luật, bịa số liệu) nếu người dùng không kiểm tra lại.</w:t>
      </w:r>
    </w:p>
    <w:p>
      <w:pPr>
        <w:spacing w:after="120"/>
        <w:ind w:left="283"/>
      </w:pPr>
      <w:r>
        <w:rPr>
          <w:rFonts w:ascii="Times New Roman" w:hAnsi="Times New Roman"/>
          <w:sz w:val="23"/>
        </w:rPr>
        <w:t>Trách nhiệm cuối cùng về nội dung, thể thức và tính chính xác luôn thuộc về người có thẩm quyền ký, ban hành văn bản — không thể đổ lỗi cho công cụ.</w:t>
      </w:r>
    </w:p>
    <w:p>
      <w:pPr>
        <w:spacing w:after="280"/>
        <w:ind w:left="283"/>
      </w:pPr>
      <w:r>
        <w:rPr>
          <w:rFonts w:ascii="Times New Roman" w:hAnsi="Times New Roman"/>
          <w:sz w:val="23"/>
        </w:rPr>
        <w:t>Ví dụ: một nhân viên dùng AI soạn nháp công văn, AI trích dẫn nhầm số hiệu Nghị định làm căn cứ; nếu người có thẩm quyền ký ngay mà không rà soát lại phần căn cứ pháp lý, chính người ký — không phải công cụ AI — phải chịu trách nhiệm về sai sót đó trước cấp trên và trước pháp luật.</w:t>
      </w:r>
    </w:p>
    <w:p>
      <w:pPr>
        <w:spacing w:after="0"/>
        <w:jc w:val="center"/>
      </w:pPr>
      <w:r>
        <w:rPr>
          <w:rFonts w:ascii="Times New Roman" w:hAnsi="Times New Roman"/>
          <w:b w:val="0"/>
          <w:i/>
          <w:sz w:val="21"/>
        </w:rPr>
        <w:t>© Đỗ Thùy Hương, 2026. Bản có đáp án — lưu hành nội bộ, dùng cho giảng viên.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