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60" w:lineRule="auto"/>
        <w:jc w:val="center"/>
      </w:pPr>
      <w:r>
        <w:rPr>
          <w:rFonts w:ascii="Times New Roman" w:hAnsi="Times New Roman"/>
          <w:b/>
          <w:i w:val="0"/>
          <w:sz w:val="30"/>
        </w:rPr>
        <w:t>BÀI TẬP TỰ ĐÁNH GIÁ — Chương 3, Chủ đề 2</w:t>
      </w:r>
    </w:p>
    <w:p>
      <w:pPr>
        <w:spacing w:before="0" w:after="40" w:line="360" w:lineRule="auto"/>
      </w:pPr>
      <w:r>
        <w:rPr>
          <w:rFonts w:ascii="Times New Roman" w:hAnsi="Times New Roman"/>
          <w:b/>
          <w:i w:val="0"/>
          <w:sz w:val="26"/>
        </w:rPr>
        <w:t>1. Phân biệt Định phí (Fixed Costs) và Biến phí (Variable Costs), mỗi loại cho một ví dụ.</w:t>
      </w:r>
    </w:p>
    <w:p>
      <w:pPr>
        <w:spacing w:before="0" w:after="160" w:line="360" w:lineRule="auto"/>
      </w:pPr>
      <w:r>
        <w:rPr>
          <w:rFonts w:ascii="Times New Roman" w:hAnsi="Times New Roman"/>
          <w:b w:val="0"/>
          <w:i/>
          <w:sz w:val="26"/>
        </w:rPr>
        <w:t>Đáp án: Định phí là chi phí cố định phải trả dù có bán được hàng hay không (ví dụ tiền thuê mặt bằng); biến phí thay đổi theo số lượng sản phẩm (ví dụ nguyên liệu).</w:t>
      </w:r>
    </w:p>
    <w:p>
      <w:pPr>
        <w:spacing w:before="0" w:after="40" w:line="360" w:lineRule="auto"/>
      </w:pPr>
      <w:r>
        <w:rPr>
          <w:rFonts w:ascii="Times New Roman" w:hAnsi="Times New Roman"/>
          <w:b/>
          <w:i w:val="0"/>
          <w:sz w:val="26"/>
        </w:rPr>
        <w:t>2. Một dự án có định phí 10 triệu đồng, giá bán 100 nghìn đồng/sản phẩm, biến phí 50 nghìn đồng/sản phẩm. Tính điểm hòa vốn (số sản phẩm).</w:t>
      </w:r>
    </w:p>
    <w:p>
      <w:pPr>
        <w:spacing w:before="0" w:after="160" w:line="360" w:lineRule="auto"/>
      </w:pPr>
      <w:r>
        <w:rPr>
          <w:rFonts w:ascii="Times New Roman" w:hAnsi="Times New Roman"/>
          <w:b w:val="0"/>
          <w:i/>
          <w:sz w:val="26"/>
        </w:rPr>
        <w:t>Đáp án: Biên lãi gộp = 100.000 − 50.000 = 50.000đ/sản phẩm; Điểm hòa vốn = 10.000.000 / 50.000 = 200 sản phẩm.</w:t>
      </w:r>
    </w:p>
    <w:p>
      <w:pPr>
        <w:spacing w:before="0" w:after="40" w:line="360" w:lineRule="auto"/>
      </w:pPr>
      <w:r>
        <w:rPr>
          <w:rFonts w:ascii="Times New Roman" w:hAnsi="Times New Roman"/>
          <w:b/>
          <w:i w:val="0"/>
          <w:sz w:val="26"/>
        </w:rPr>
        <w:t>3. "Burn rate" và "Runway" là gì, và chúng liên quan với nhau như thế nào?</w:t>
      </w:r>
    </w:p>
    <w:p>
      <w:pPr>
        <w:spacing w:before="0" w:after="160" w:line="360" w:lineRule="auto"/>
      </w:pPr>
      <w:r>
        <w:rPr>
          <w:rFonts w:ascii="Times New Roman" w:hAnsi="Times New Roman"/>
          <w:b w:val="0"/>
          <w:i/>
          <w:sz w:val="26"/>
        </w:rPr>
        <w:t>Đáp án: Burn rate là tốc độ tiêu tiền mỗi tháng; Runway = tiền mặt hiện có ÷ burn rate, cho biết còn bao lâu nữa thì hết tiền nếu không có thêm doanh thu/vốn mới.</w:t>
      </w:r>
    </w:p>
    <w:p>
      <w:pPr>
        <w:spacing w:before="0" w:after="40" w:line="360" w:lineRule="auto"/>
      </w:pPr>
      <w:r>
        <w:rPr>
          <w:rFonts w:ascii="Times New Roman" w:hAnsi="Times New Roman"/>
          <w:b/>
          <w:i w:val="0"/>
          <w:sz w:val="26"/>
        </w:rPr>
        <w:t>4. Phân biệt "Lợi nhuận gộp" và "Lợi nhuận ròng".</w:t>
      </w:r>
    </w:p>
    <w:p>
      <w:pPr>
        <w:spacing w:before="0" w:after="160" w:line="360" w:lineRule="auto"/>
      </w:pPr>
      <w:r>
        <w:rPr>
          <w:rFonts w:ascii="Times New Roman" w:hAnsi="Times New Roman"/>
          <w:b w:val="0"/>
          <w:i/>
          <w:sz w:val="26"/>
        </w:rPr>
        <w:t>Đáp án: Lợi nhuận gộp = doanh thu − giá vốn hàng bán; lợi nhuận ròng = lợi nhuận gộp − tất cả chi phí vận hành khác (thuê mặt bằng, lương, Marketing...) và thuế.</w:t>
      </w:r>
    </w:p>
    <w:p>
      <w:pPr>
        <w:spacing w:before="0" w:after="40" w:line="360" w:lineRule="auto"/>
      </w:pPr>
      <w:r>
        <w:rPr>
          <w:rFonts w:ascii="Times New Roman" w:hAnsi="Times New Roman"/>
          <w:b/>
          <w:i w:val="0"/>
          <w:sz w:val="26"/>
        </w:rPr>
        <w:t>5. Vì sao một dự án có thể "báo lãi trên sổ sách" nhưng vẫn hết tiền mặt? Nêu công cụ giúp tránh rủi ro này.</w:t>
      </w:r>
    </w:p>
    <w:p>
      <w:pPr>
        <w:spacing w:before="0" w:after="160" w:line="360" w:lineRule="auto"/>
      </w:pPr>
      <w:r>
        <w:rPr>
          <w:rFonts w:ascii="Times New Roman" w:hAnsi="Times New Roman"/>
          <w:b w:val="0"/>
          <w:i/>
          <w:sz w:val="26"/>
        </w:rPr>
        <w:t>Đáp án: Vì lợi nhuận và dòng tiền là hai khái niệm khác nhau — khách hàng nợ chưa trả hoặc hàng tồn kho nhiều khiến tiền mặt không về kịp; công cụ: kế hoạch dòng tiền (Cash Flow).</w:t>
      </w:r>
    </w:p>
    <w:sectPr w:rsidR="00FC693F" w:rsidRPr="0006063C" w:rsidSect="00034616">
      <w:pgSz w:w="11906" w:h="16838"/>
      <w:pgMar w:top="1134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