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sz w:val="30"/>
        </w:rPr>
        <w:t>MỤC TIÊU CHƯƠNG 4 — LỰA CHỌN MÔ HÌNH KINH DOANH</w:t>
      </w:r>
    </w:p>
    <w:p>
      <w:pPr>
        <w:spacing w:before="0" w:after="160" w:line="360" w:lineRule="auto"/>
      </w:pPr>
      <w:r>
        <w:rPr>
          <w:rFonts w:ascii="Times New Roman" w:hAnsi="Times New Roman"/>
          <w:b w:val="0"/>
          <w:i w:val="0"/>
          <w:sz w:val="26"/>
        </w:rPr>
        <w:t>Chương 4 giúp người học khoác cho dự án — đã có ý tưởng từ Chương 1, được thẩm định cơ hội ở Chương 2 và có kế hoạch tài chính ở Chương 3 — một hình thức pháp lý, tổ chức phù hợp để vận hành hợp pháp, bền vững.</w:t>
        <w:br/>
        <w:br/>
        <w:t>Về kiến thức (CĐR 7.1.1 — phân tích thách thức triển khai ý tưởng khởi nghiệp trong thực tiễn, ở đây cụ thể là thách thức về pháp lý và tổ chức), người học phân biệt được bốn loại hình doanh nghiệp theo Luật Doanh nghiệp — doanh nghiệp tư nhân, công ty trách nhiệm hữu hạn, công ty cổ phần, công ty hợp danh — cùng các khái niệm then chốt "trách nhiệm hữu hạn", "trách nhiệm vô hạn" và "tư cách pháp nhân"; đồng thời nắm được các mô hình đặc thù phù hợp với khởi nghiệp quy mô nhỏ — hộ kinh doanh, tổ hợp tác, hợp tác xã kiểu mới — và mô hình nhượng quyền kinh doanh (Franchising). Đây là nội dung Chủ đề 4.1 "Các loại hình doanh nghiệp và mô hình hợp tác, nhượng quyền". Chủ đề 4.2 "Lựa chọn loại hình phù hợp cho phụ nữ và người dân tộc thiểu số" vận dụng trực tiếp kiến thức pháp lý này vào thực tế: tiêu chí chọn mô hình theo năng lực bản thân (thời gian, vốn, kỹ năng), thủ tục đăng ký kinh doanh, và các mô hình kinh doanh thời đại số — thương mại điện tử, D2C, kinh tế chia sẻ — có thể áp dụng thêm vào bất kỳ loại hình pháp lý nào đã chọn.</w:t>
        <w:br/>
        <w:br/>
        <w:t>Về kỹ năng (CĐR 7.2.2), người học rèn năng lực phân tích để đối chiếu rào cản gia nhập thị trường — khái niệm đã học ở Chương 2 — với từng loại hình pháp lý, từ đó chọn ra mô hình phù hợp nhất với mức độ cạnh tranh của ngành và nguồn lực thực tế của nhóm, tức một kỹ năng ra quyết định có cơ sở, không chạy theo một mô hình "hoành tráng" vượt quá khả năng thực hiện.</w:t>
        <w:br/>
        <w:br/>
        <w:t>Về trách nhiệm (CĐR 7.3.1, 7.3.2), chương khẳng định việc tuân thủ đúng và đủ thủ tục đăng ký kinh doanh, cùng sự minh bạch trong vận hành, là một phần không thể tách rời của đạo đức kinh doanh — một lựa chọn mô hình đúng về mặt pháp lý nhưng vận hành thiếu trung thực vẫn có thể khiến dự án sụp đổ vì mất lòng tin từ khách hàng và đối tác.</w:t>
        <w:br/>
        <w:br/>
        <w:t>Vai trò của Chương 4 là đặt nền móng tổ chức, pháp lý vững chắc, giảm rủi ro pháp lý tốn kém về sau cho dự án, để Chương 5 tập trung hoàn toàn vào việc đưa sản phẩm đến đúng khách hàng mục tiêu.</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