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TÀI LIỆU HƯỚNG DẪN ÔN TẬP VÀ KIỂM TRA</w:t>
      </w:r>
    </w:p>
    <w:p>
      <w:pPr>
        <w:spacing w:before="0" w:after="280" w:line="360" w:lineRule="auto"/>
        <w:jc w:val="center"/>
      </w:pPr>
      <w:r>
        <w:rPr>
          <w:rFonts w:ascii="Times New Roman" w:hAnsi="Times New Roman"/>
          <w:b w:val="0"/>
          <w:i/>
          <w:sz w:val="26"/>
        </w:rPr>
        <w:t>Khởi sự doanh nghiệp (EC1606)</w:t>
      </w:r>
    </w:p>
    <w:p>
      <w:pPr>
        <w:spacing w:before="0" w:after="160" w:line="360" w:lineRule="auto"/>
      </w:pPr>
      <w:r>
        <w:rPr>
          <w:rFonts w:ascii="Times New Roman" w:hAnsi="Times New Roman"/>
          <w:b w:val="0"/>
          <w:i w:val="0"/>
          <w:sz w:val="26"/>
        </w:rPr>
        <w:t>Hướng dẫn ôn tập và kiểm tra học phần Khởi sự doanh nghiệp (EC1606)</w:t>
      </w:r>
    </w:p>
    <w:p>
      <w:pPr>
        <w:spacing w:before="0" w:after="160" w:line="360" w:lineRule="auto"/>
      </w:pPr>
      <w:r>
        <w:rPr>
          <w:rFonts w:ascii="Times New Roman" w:hAnsi="Times New Roman"/>
          <w:b w:val="0"/>
          <w:i w:val="0"/>
          <w:sz w:val="26"/>
        </w:rPr>
        <w:t>Tài liệu này giúp các em hệ thống lại cách học, ôn tập và chuẩn bị kiểm tra, đánh giá cho học phần Khởi sự doanh nghiệp — một học phần 2 tín chỉ, giảng dạy hoàn toàn trực tuyến, gồm 5 chương, mỗi chương có đúng 2 chủ đề có bài giảng video kèm bài tập tương tác.</w:t>
      </w:r>
    </w:p>
    <w:p>
      <w:pPr>
        <w:spacing w:before="0" w:after="160" w:line="360" w:lineRule="auto"/>
      </w:pPr>
      <w:r>
        <w:rPr>
          <w:rFonts w:ascii="Times New Roman" w:hAnsi="Times New Roman"/>
          <w:b w:val="0"/>
          <w:i w:val="0"/>
          <w:sz w:val="26"/>
        </w:rPr>
        <w:t>1. Cấu trúc học phần</w:t>
      </w:r>
    </w:p>
    <w:p>
      <w:pPr>
        <w:spacing w:before="0" w:after="160" w:line="360" w:lineRule="auto"/>
      </w:pPr>
      <w:r>
        <w:rPr>
          <w:rFonts w:ascii="Times New Roman" w:hAnsi="Times New Roman"/>
          <w:b w:val="0"/>
          <w:i w:val="0"/>
          <w:sz w:val="26"/>
        </w:rPr>
        <w:t>Học phần gồm 5 chương, 10 chủ đề: Chương 1 — Tổng quan về khởi sự doanh nghiệp (6 tiết, gồm Chủ đề 1.1 Khái niệm khởi nghiệp, ý tưởng và kế hoạch kinh doanh, Chủ đề 1.2 Khởi nghiệp cho phụ nữ, người dân tộc thiểu số và hệ sinh thái khởi nghiệp); Chương 2 — Đánh giá cơ hội, ý tưởng phát triển kế hoạch kinh doanh (6 tiết, gồm Chủ đề 2.1 Xác định ý tưởng, sản phẩm và đối tượng khách hàng, Chủ đề 2.2 Đánh giá cơ hội phát triển dự án); Chương 3 — Một số kỹ thuật huy động vốn (2 tiết, chương ngắn nhất, gồm Chủ đề 3.1 Huy động vốn đầu tư và các kỹ thuật huy động vốn, Chủ đề 3.2 Các chỉ số tài chính cốt yếu mà nhà đầu tư quan tâm); Chương 4 — Lựa chọn mô hình kinh doanh (8 tiết, gồm Chủ đề 4.1 Các loại hình doanh nghiệp và mô hình hợp tác, nhượng quyền, Chủ đề 4.2 Lựa chọn loại hình phù hợp cho phụ nữ và người dân tộc thiểu số); Chương 5 — Marketing cho doanh nghiệp mới (8 tiết, gồm Chủ đề 5.1 Thị trường mục tiêu, định vị và đối tượng khách hàng — STP, Chủ đề 5.2 Xây dựng nhãn hiệu và Marketing hỗn hợp).</w:t>
      </w:r>
    </w:p>
    <w:p>
      <w:pPr>
        <w:spacing w:before="0" w:after="160" w:line="360" w:lineRule="auto"/>
      </w:pPr>
      <w:r>
        <w:rPr>
          <w:rFonts w:ascii="Times New Roman" w:hAnsi="Times New Roman"/>
          <w:b w:val="0"/>
          <w:i w:val="0"/>
          <w:sz w:val="26"/>
        </w:rPr>
        <w:t>Mỗi chủ đề có một video bài giảng (khoảng 7-15 phút) kèm bài tập tương tác, và một tài liệu "chủ đề tự nghiên cứu" riêng — nội dung liên quan nhưng không nằm trong video, cần tự đọc thêm từ giáo trình chính [1] (và tài liệu [3] ở các chủ đề liên quan phụ nữ, dân tộc thiểu số). Năm chương không độc lập: ý tưởng ở Chương 1 được sàng lọc thành cơ hội ở Chương 2, lượng hóa bằng tài chính ở Chương 3, khoác hình thức pháp lý ở Chương 4, và đưa đến khách hàng qua Marketing ở Chương 5 — nên học, ôn theo đúng thứ tự, tránh nhảy cóc.</w:t>
      </w:r>
    </w:p>
    <w:p>
      <w:pPr>
        <w:spacing w:before="0" w:after="160" w:line="360" w:lineRule="auto"/>
      </w:pPr>
      <w:r>
        <w:rPr>
          <w:rFonts w:ascii="Times New Roman" w:hAnsi="Times New Roman"/>
          <w:b w:val="0"/>
          <w:i w:val="0"/>
          <w:sz w:val="26"/>
        </w:rPr>
        <w:t>2. Cách ôn tập hiệu quả</w:t>
      </w:r>
    </w:p>
    <w:p>
      <w:pPr>
        <w:spacing w:before="0" w:after="160" w:line="360" w:lineRule="auto"/>
      </w:pPr>
      <w:r>
        <w:rPr>
          <w:rFonts w:ascii="Times New Roman" w:hAnsi="Times New Roman"/>
          <w:b w:val="0"/>
          <w:i w:val="0"/>
          <w:sz w:val="26"/>
        </w:rPr>
        <w:t>Vì học phần dạy trực tuyến, cách ôn tập hiệu quả nhất là đi theo đúng nhịp từng chủ đề, không dồn lại ôn một lần vào cuối kỳ. Trước hết, xem lại video bài giảng của từng chủ đề theo đúng thứ tự 1.1, 1.2, 2.1... đến 5.2; mỗi video được thiết kế đứng độc lập, nên có thể xem lại bất kỳ lúc nào trong quá trình ôn thi mà không mất mạch.</w:t>
      </w:r>
    </w:p>
    <w:p>
      <w:pPr>
        <w:spacing w:before="0" w:after="160" w:line="360" w:lineRule="auto"/>
      </w:pPr>
      <w:r>
        <w:rPr>
          <w:rFonts w:ascii="Times New Roman" w:hAnsi="Times New Roman"/>
          <w:b w:val="0"/>
          <w:i w:val="0"/>
          <w:sz w:val="26"/>
        </w:rPr>
        <w:t>Sau đó, đọc tài liệu "chủ đề tự nghiên cứu" ngay sau khi xem video, khi nội dung còn mới, và trả lời các câu hỏi định hướng ở cuối tài liệu — cách tốt để kiểm tra mình hiểu sâu hay chỉ nhớ bề mặt. Tiếp theo, làm bài tập tự đánh giá cuối mỗi chủ đề trước khi chuyển sang chủ đề kế tiếp, và nhất thiết hoàn thành cả hai bài tự đánh giá của một chương trước khi làm bài kiểm tra kết thúc chương (ứng với A2). Bài tự đánh giá không lấy điểm, nhưng cho biết chính xác phần nào chưa nắm chắc để ôn lại kịp thời — bỏ qua bước này trước khi vào bài kiểm tra chương gần như chắc chắn dẫn đến điểm thấp.</w:t>
      </w:r>
    </w:p>
    <w:p>
      <w:pPr>
        <w:spacing w:before="0" w:after="160" w:line="360" w:lineRule="auto"/>
      </w:pPr>
      <w:r>
        <w:rPr>
          <w:rFonts w:ascii="Times New Roman" w:hAnsi="Times New Roman"/>
          <w:b w:val="0"/>
          <w:i w:val="0"/>
          <w:sz w:val="26"/>
        </w:rPr>
        <w:t>Khi ôn tập, nên gắn kiến thức với hai tình huống minh họa xuyên suốt học phần — chị Hoa chế biến khoai lang ở Bình Tân, và dự án gốm đỏ Vĩnh Long (ví dụ dựng ra để giảng dạy, không phải số liệu thật). Tập vận dụng từng khái niệm vào một tình huống cụ thể giúp nhớ lâu hơn nhiều so với học thuộc định nghĩa suông. Cuối cùng, trước mỗi bài kiểm tra kết thúc chương, hãy tự trả lời lại các câu hỏi hệ thống hóa ở cuối mỗi chủ đề để tự kiểm tra mình đã sẵn sàng hay chưa.</w:t>
      </w:r>
    </w:p>
    <w:p>
      <w:pPr>
        <w:spacing w:before="0" w:after="160" w:line="360" w:lineRule="auto"/>
      </w:pPr>
      <w:r>
        <w:rPr>
          <w:rFonts w:ascii="Times New Roman" w:hAnsi="Times New Roman"/>
          <w:b w:val="0"/>
          <w:i w:val="0"/>
          <w:sz w:val="26"/>
        </w:rPr>
        <w:t>3. Cách đánh giá học phần (A1 — A2 — A3)</w:t>
      </w:r>
    </w:p>
    <w:p>
      <w:pPr>
        <w:spacing w:before="0" w:after="160" w:line="360" w:lineRule="auto"/>
      </w:pPr>
      <w:r>
        <w:rPr>
          <w:rFonts w:ascii="Times New Roman" w:hAnsi="Times New Roman"/>
          <w:b w:val="0"/>
          <w:i w:val="0"/>
          <w:sz w:val="26"/>
        </w:rPr>
        <w:t>Học phần đánh giá theo ba thành phần. A1 — Đánh giá chuyên cần (HS1): tính trên việc xem tối thiểu 90% thời lượng video, và hoàn thành đầy đủ bài tập tương tác kèm mỗi video — phản ánh sự đều đặn trong học tập, nên cách tốt nhất để đạt điểm cao là học đúng nhịp từng chủ đề, không dồn xem video vào sát ngày kiểm tra.</w:t>
      </w:r>
    </w:p>
    <w:p>
      <w:pPr>
        <w:spacing w:before="0" w:after="160" w:line="360" w:lineRule="auto"/>
      </w:pPr>
      <w:r>
        <w:rPr>
          <w:rFonts w:ascii="Times New Roman" w:hAnsi="Times New Roman"/>
          <w:b w:val="0"/>
          <w:i w:val="0"/>
          <w:sz w:val="26"/>
        </w:rPr>
        <w:t>A2 — Đánh giá quá trình (HS2): 2 bài kiểm tra trắc nghiệm, đánh giá CĐR về kỹ năng và tự chủ, trách nhiệm (7.2.1, 7.2.2, 7.3.1, 7.3.2). Khi ôn A2, đừng chỉ ôn định nghĩa, công thức (CĐR 7.1), mà cần ôn cả kỹ năng phối hợp nhóm, ứng dụng công cụ số, đạo đức kinh doanh và tính bền vững — nội dung dễ bị bỏ qua vì không "có công thức để tính".</w:t>
      </w:r>
    </w:p>
    <w:p>
      <w:pPr>
        <w:spacing w:before="0" w:after="160" w:line="360" w:lineRule="auto"/>
      </w:pPr>
      <w:r>
        <w:rPr>
          <w:rFonts w:ascii="Times New Roman" w:hAnsi="Times New Roman"/>
          <w:b w:val="0"/>
          <w:i w:val="0"/>
          <w:sz w:val="26"/>
        </w:rPr>
        <w:t>A3 — Đánh giá kết thúc học phần (HS3): bài thu hoạch, đáp ứng toàn bộ CĐR (7.1, 7.2, 7.3), là đánh giá tổng hợp, trọng số lớn nhất, nên cần chuẩn bị kỹ và sớm, không để đến gần ngày nộp mới bắt đầu.</w:t>
      </w:r>
    </w:p>
    <w:p>
      <w:pPr>
        <w:spacing w:before="0" w:after="160" w:line="360" w:lineRule="auto"/>
      </w:pPr>
      <w:r>
        <w:rPr>
          <w:rFonts w:ascii="Times New Roman" w:hAnsi="Times New Roman"/>
          <w:b w:val="0"/>
          <w:i w:val="0"/>
          <w:sz w:val="26"/>
        </w:rPr>
        <w:t>4. Chuẩn bị cho bài thu hoạch cuối kỳ (A3)</w:t>
      </w:r>
    </w:p>
    <w:p>
      <w:pPr>
        <w:spacing w:before="0" w:after="160" w:line="360" w:lineRule="auto"/>
      </w:pPr>
      <w:r>
        <w:rPr>
          <w:rFonts w:ascii="Times New Roman" w:hAnsi="Times New Roman"/>
          <w:b w:val="0"/>
          <w:i w:val="0"/>
          <w:sz w:val="26"/>
        </w:rPr>
        <w:t>Vì bài thu hoạch đáp ứng toàn bộ CĐR, cách chuẩn bị hiệu quả nhất là xây dựng một dự án khởi nghiệp giả định xuyên suốt cả 5 chương, tương tự cách học phần dùng tình huống chị Hoa hoặc gốm đỏ Vĩnh Long làm ví dụ. Nên chọn một ý tưởng cụ thể ngay sau Chương 1 — dựa trên thế mạnh địa phương, sản phẩm quen thuộc hay một vấn đề thực sự quan sát được — vì bài thu hoạch thuyết phục hơn nhiều khi xây trên một ý tưởng thực sự hiểu, không phải nghĩ vội cuối kỳ.</w:t>
      </w:r>
    </w:p>
    <w:p>
      <w:pPr>
        <w:spacing w:before="0" w:after="160" w:line="360" w:lineRule="auto"/>
      </w:pPr>
      <w:r>
        <w:rPr>
          <w:rFonts w:ascii="Times New Roman" w:hAnsi="Times New Roman"/>
          <w:b w:val="0"/>
          <w:i w:val="0"/>
          <w:sz w:val="26"/>
        </w:rPr>
        <w:t>Sau mỗi chương, quay lại bổ sung phần tương ứng vào dự án đó: đánh giá cơ hội sau Chương 2, tính điểm hòa vốn sau Chương 3, chọn loại hình doanh nghiệp sau Chương 4, xây STP và kế hoạch Marketing sau Chương 5. Làm vậy, đến cuối kỳ đã có sẵn một bản dự án tương đối hoàn chỉnh, chỉ cần chỉnh sửa lại cho mạch lạc, không phải viết lại từ đầu trong thời gian ngắn.</w:t>
      </w:r>
    </w:p>
    <w:p>
      <w:pPr>
        <w:spacing w:before="0" w:after="160" w:line="360" w:lineRule="auto"/>
      </w:pPr>
      <w:r>
        <w:rPr>
          <w:rFonts w:ascii="Times New Roman" w:hAnsi="Times New Roman"/>
          <w:b w:val="0"/>
          <w:i w:val="0"/>
          <w:sz w:val="26"/>
        </w:rPr>
        <w:t>Khi trình bày, nhớ thể hiện cả kiến thức, kỹ năng và thái độ: phân tích có dữ liệu, không chỉ cảm tính; thể hiện phối hợp nhóm nếu làm theo nhóm; cam kết rõ dự án không vi phạm đạo đức kinh doanh, hướng đến phát triển bền vững — những điểm thường bị bỏ sót khi chỉ tập trung vào phần "có vẻ học thuật" như công thức tài chính hay thủ tục pháp lý. Cuối cùng, nên đọc lại cả 10 tài liệu "chủ đề tự nghiên cứu" trước khi hoàn thiện bài thu hoạch, đặc biệt các khái niệm về phụ nữ, người dân tộc thiểu số khởi nghiệp — trọng tâm xuyên suốt của học phần.</w:t>
      </w:r>
    </w:p>
    <w:p>
      <w:pPr>
        <w:spacing w:before="0" w:after="160" w:line="360" w:lineRule="auto"/>
      </w:pPr>
      <w:r>
        <w:rPr>
          <w:rFonts w:ascii="Times New Roman" w:hAnsi="Times New Roman"/>
          <w:b w:val="0"/>
          <w:i w:val="0"/>
          <w:sz w:val="26"/>
        </w:rPr>
        <w:t>Chúc các em ôn tập hiệu quả và hoàn thành tốt bài thu hoạch cuối kỳ.</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