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hướng-dẫn-hệ-thống-m-aida-v710"/>
    <w:p>
      <w:pPr>
        <w:pStyle w:val="Heading1"/>
      </w:pPr>
      <w:r>
        <w:t xml:space="preserve">HƯỚNG DẪN HỆ THỐNG M-AIDA v7.1.0</w:t>
      </w:r>
    </w:p>
    <w:bookmarkStart w:id="9" w:name="meta-analysis-intelligent-data-assistant"/>
    <w:p>
      <w:pPr>
        <w:pStyle w:val="Heading2"/>
      </w:pPr>
      <w:r>
        <w:t xml:space="preserve">Meta-Analysis Intelligent Data Assistant</w:t>
      </w:r>
    </w:p>
    <w:p>
      <w:pPr>
        <w:pStyle w:val="FirstParagraph"/>
      </w:pPr>
      <w:r>
        <w:rPr>
          <w:b/>
          <w:bCs/>
        </w:rPr>
        <w:t xml:space="preserve">Tác giả:</w:t>
      </w:r>
      <w:r>
        <w:t xml:space="preserve"> </w:t>
      </w:r>
      <w:r>
        <w:t xml:space="preserve">Đỗ Thùy Hương (ORCID 0000-0002-7711-2487) và Phan Anh Tú, Trường Đại học Cần Thơ.</w:t>
      </w:r>
      <w:r>
        <w:t xml:space="preserve"> </w:t>
      </w:r>
      <w:r>
        <w:rPr>
          <w:b/>
          <w:bCs/>
        </w:rPr>
        <w:t xml:space="preserve">Vai trò trong luận án:</w:t>
      </w:r>
      <w:r>
        <w:t xml:space="preserve"> </w:t>
      </w:r>
      <w:r>
        <w:t xml:space="preserve">công cụ hỗ trợ trích xuất cỡ hiệu ứng bán tự động cho nghiên cứu thành phần P6 (phân tích tổng hợp ba tầng, k = 236 nghiên cứu, K = 286 cỡ hiệu ứng), với xác minh 100% bởi nghiên cứu viên chính (PI) và khóa dữ liệu bất biến (immutable data lock).</w:t>
      </w:r>
    </w:p>
    <w:bookmarkEnd w:id="9"/>
    <w:bookmarkStart w:id="10" w:name="X96e22c62ace150fbbd3d5467aac99e6efd7277b"/>
    <w:p>
      <w:pPr>
        <w:pStyle w:val="Heading2"/>
      </w:pPr>
      <w:r>
        <w:t xml:space="preserve">1. Kiến trúc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Công nghệ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</w:t>
            </w:r>
          </w:p>
        </w:tc>
        <w:tc>
          <w:tcPr/>
          <w:p>
            <w:pPr>
              <w:pStyle w:val="Compact"/>
            </w:pPr>
            <w:r>
              <w:t xml:space="preserve">Python FastAPI (cổng 8765)</w:t>
            </w:r>
          </w:p>
        </w:tc>
        <w:tc>
          <w:tcPr/>
          <w:p>
            <w:pPr>
              <w:pStyle w:val="Compact"/>
            </w:pPr>
            <w:r>
              <w:t xml:space="preserve">Trích xuất thống kê từ PDF bằng LLM (</w:t>
            </w:r>
            <w:r>
              <w:rPr>
                <w:rStyle w:val="VerbatimChar"/>
              </w:rPr>
              <w:t xml:space="preserve">extractor.py</w:t>
            </w:r>
            <w:r>
              <w:t xml:space="preserve">), mô hình dữ liệu Pydantic v2 (</w:t>
            </w:r>
            <w:r>
              <w:rPr>
                <w:rStyle w:val="VerbatimChar"/>
              </w:rPr>
              <w:t xml:space="preserve">models.py</w:t>
            </w:r>
            <w:r>
              <w:t xml:space="preserve">), đồng bộ Notion (</w:t>
            </w:r>
            <w:r>
              <w:rPr>
                <w:rStyle w:val="VerbatimChar"/>
              </w:rPr>
              <w:t xml:space="preserve">notion_sync.py</w:t>
            </w:r>
            <w:r>
              <w:t xml:space="preserve">), lớp engine đa nhà cung cấp (</w:t>
            </w:r>
            <w:r>
              <w:rPr>
                <w:rStyle w:val="VerbatimChar"/>
              </w:rPr>
              <w:t xml:space="preserve">engines.py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</w:t>
            </w:r>
          </w:p>
        </w:tc>
        <w:tc>
          <w:tcPr/>
          <w:p>
            <w:pPr>
              <w:pStyle w:val="Compact"/>
            </w:pPr>
            <w:r>
              <w:t xml:space="preserve">React 18 + TypeScript, Vite 6 (cổng 3000)</w:t>
            </w:r>
          </w:p>
        </w:tc>
        <w:tc>
          <w:tcPr/>
          <w:p>
            <w:pPr>
              <w:pStyle w:val="Compact"/>
            </w:pPr>
            <w:r>
              <w:t xml:space="preserve">Hai tab:</w:t>
            </w:r>
            <w:r>
              <w:t xml:space="preserve"> </w:t>
            </w:r>
            <w:r>
              <w:rPr>
                <w:b/>
                <w:bCs/>
              </w:rPr>
              <w:t xml:space="preserve">Extract</w:t>
            </w:r>
            <w:r>
              <w:t xml:space="preserve"> </w:t>
            </w:r>
            <w:r>
              <w:t xml:space="preserve">(LLM đọc PDF ra cỡ hiệu ứng) và</w:t>
            </w:r>
            <w:r>
              <w:t xml:space="preserve"> </w:t>
            </w:r>
            <w:r>
              <w:rPr>
                <w:b/>
                <w:bCs/>
              </w:rPr>
              <w:t xml:space="preserve">Verify &amp; Lock</w:t>
            </w:r>
            <w:r>
              <w:t xml:space="preserve"> </w:t>
            </w:r>
            <w:r>
              <w:t xml:space="preserve">(bảng điều khiển PI: duyệt, ghi đè, khóa)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Chạy cả hệ thống bằng một lệnh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</w:t>
            </w:r>
          </w:p>
        </w:tc>
        <w:tc>
          <w:tcPr/>
          <w:p>
            <w:pPr>
              <w:pStyle w:val="Compact"/>
            </w:pPr>
            <w:r>
              <w:t xml:space="preserve">pytest</w:t>
            </w:r>
          </w:p>
        </w:tc>
        <w:tc>
          <w:tcPr/>
          <w:p>
            <w:pPr>
              <w:pStyle w:val="Compact"/>
            </w:pPr>
            <w:r>
              <w:t xml:space="preserve">25 kiểm thử: chuyển đổi t/F/beta sang r (Cohen 1988; Peterson &amp; Brown 2005), bảo toàn dấu, chặn khoảng đơn vị, ngưỡng duyệt PI</w:t>
            </w:r>
          </w:p>
        </w:tc>
      </w:tr>
    </w:tbl>
    <w:bookmarkEnd w:id="10"/>
    <w:bookmarkStart w:id="11" w:name="X765d8fea9511cc24a69a7d45b0c1ebdad2fa4c3"/>
    <w:p>
      <w:pPr>
        <w:pStyle w:val="Heading2"/>
      </w:pPr>
      <w:r>
        <w:t xml:space="preserve">2. Cài đặt nhanh (Docker)</w:t>
      </w:r>
    </w:p>
    <w:p>
      <w:pPr>
        <w:pStyle w:val="Compact"/>
        <w:numPr>
          <w:ilvl w:val="0"/>
          <w:numId w:val="1001"/>
        </w:numPr>
      </w:pPr>
      <w:r>
        <w:t xml:space="preserve">Sao chép cấu hình mẫu:</w:t>
      </w:r>
      <w:r>
        <w:t xml:space="preserve"> </w:t>
      </w:r>
      <w:r>
        <w:rPr>
          <w:rStyle w:val="VerbatimChar"/>
        </w:rPr>
        <w:t xml:space="preserve">cp backend/.env.example backend/.env</w:t>
      </w:r>
    </w:p>
    <w:p>
      <w:pPr>
        <w:pStyle w:val="Compact"/>
        <w:numPr>
          <w:ilvl w:val="0"/>
          <w:numId w:val="1001"/>
        </w:numPr>
      </w:pPr>
      <w:r>
        <w:t xml:space="preserve">Điền vào</w:t>
      </w:r>
      <w:r>
        <w:t xml:space="preserve"> </w:t>
      </w:r>
      <w:r>
        <w:rPr>
          <w:rStyle w:val="VerbatimChar"/>
        </w:rPr>
        <w:t xml:space="preserve">backend/.env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(bắt buộc),</w:t>
      </w:r>
      <w:r>
        <w:t xml:space="preserve"> </w:t>
      </w:r>
      <w:r>
        <w:rPr>
          <w:rStyle w:val="VerbatimChar"/>
        </w:rPr>
        <w:t xml:space="preserve">NOTION_TOKEN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NOTION_DATABASE_ID</w:t>
      </w:r>
      <w:r>
        <w:t xml:space="preserve"> </w:t>
      </w:r>
      <w:r>
        <w:t xml:space="preserve">(tùy chọn, chỉ khi dùng đồng bộ Notion). Model mặc định</w:t>
      </w:r>
      <w:r>
        <w:t xml:space="preserve"> </w:t>
      </w:r>
      <w:r>
        <w:rPr>
          <w:rStyle w:val="VerbatimChar"/>
        </w:rPr>
        <w:t xml:space="preserve">claude-fable-5</w:t>
      </w:r>
      <w:r>
        <w:t xml:space="preserve">; đổi qua biến</w:t>
      </w:r>
      <w:r>
        <w:t xml:space="preserve"> </w:t>
      </w:r>
      <w:r>
        <w:rPr>
          <w:rStyle w:val="VerbatimChar"/>
        </w:rPr>
        <w:t xml:space="preserve">ANTHROPIC_MODEL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Chạy:</w:t>
      </w:r>
      <w:r>
        <w:t xml:space="preserve"> </w:t>
      </w:r>
      <w:r>
        <w:rPr>
          <w:rStyle w:val="VerbatimChar"/>
        </w:rPr>
        <w:t xml:space="preserve">docker compose up</w:t>
      </w:r>
    </w:p>
    <w:p>
      <w:pPr>
        <w:pStyle w:val="Compact"/>
        <w:numPr>
          <w:ilvl w:val="0"/>
          <w:numId w:val="1001"/>
        </w:numPr>
      </w:pPr>
      <w:r>
        <w:t xml:space="preserve">Mở trình duyệt:</w:t>
      </w:r>
      <w:r>
        <w:t xml:space="preserve"> </w:t>
      </w:r>
      <w:r>
        <w:rPr>
          <w:rStyle w:val="VerbatimChar"/>
        </w:rPr>
        <w:t xml:space="preserve">http://localhost:3000</w:t>
      </w:r>
    </w:p>
    <w:p>
      <w:pPr>
        <w:pStyle w:val="FirstParagraph"/>
      </w:pPr>
      <w:r>
        <w:rPr>
          <w:b/>
          <w:bCs/>
        </w:rPr>
        <w:t xml:space="preserve">Không dùng Docker:</w:t>
      </w:r>
      <w:r>
        <w:t xml:space="preserve"> </w:t>
      </w:r>
      <w:r>
        <w:t xml:space="preserve">backend</w:t>
      </w:r>
      <w:r>
        <w:t xml:space="preserve"> </w:t>
      </w:r>
      <w:r>
        <w:rPr>
          <w:rStyle w:val="VerbatimChar"/>
        </w:rPr>
        <w:t xml:space="preserve">pip install -e backend</w:t>
      </w:r>
      <w:r>
        <w:t xml:space="preserve"> </w:t>
      </w:r>
      <w:r>
        <w:t xml:space="preserve">rồi</w:t>
      </w:r>
      <w:r>
        <w:t xml:space="preserve"> </w:t>
      </w:r>
      <w:r>
        <w:rPr>
          <w:rStyle w:val="VerbatimChar"/>
        </w:rPr>
        <w:t xml:space="preserve">uvicorn main:app --port 8765</w:t>
      </w:r>
      <w:r>
        <w:t xml:space="preserve"> </w:t>
      </w:r>
      <w:r>
        <w:t xml:space="preserve">trong thư mục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; frontend</w:t>
      </w:r>
      <w:r>
        <w:t xml:space="preserve"> </w:t>
      </w:r>
      <w:r>
        <w:rPr>
          <w:rStyle w:val="VerbatimChar"/>
        </w:rPr>
        <w:t xml:space="preserve">npm install &amp;&amp; npm run dev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.</w:t>
      </w:r>
    </w:p>
    <w:bookmarkEnd w:id="11"/>
    <w:bookmarkStart w:id="12" w:name="X25c74015390a303b79024d6bc6fdba990685065"/>
    <w:p>
      <w:pPr>
        <w:pStyle w:val="Heading2"/>
      </w:pPr>
      <w:r>
        <w:t xml:space="preserve">3. Kiểm thử</w:t>
      </w:r>
    </w:p>
    <w:p>
      <w:pPr>
        <w:pStyle w:val="FirstParagraph"/>
      </w:pPr>
      <w:r>
        <w:rPr>
          <w:rStyle w:val="VerbatimChar"/>
        </w:rPr>
        <w:t xml:space="preserve">pip install -e "backend[test]"</w:t>
      </w:r>
      <w:r>
        <w:t xml:space="preserve"> </w:t>
      </w:r>
      <w:r>
        <w:t xml:space="preserve">rồi</w:t>
      </w:r>
      <w:r>
        <w:t xml:space="preserve"> </w:t>
      </w:r>
      <w:r>
        <w:rPr>
          <w:rStyle w:val="VerbatimChar"/>
        </w:rPr>
        <w:t xml:space="preserve">python -m pytest backend/tests/</w:t>
      </w:r>
      <w:r>
        <w:t xml:space="preserve">. Trạng thái tại thời điểm đóng gói:</w:t>
      </w:r>
      <w:r>
        <w:t xml:space="preserve"> </w:t>
      </w:r>
      <w:r>
        <w:rPr>
          <w:b/>
          <w:bCs/>
        </w:rPr>
        <w:t xml:space="preserve">25/25 đạt</w:t>
      </w:r>
      <w:r>
        <w:t xml:space="preserve">.</w:t>
      </w:r>
    </w:p>
    <w:bookmarkEnd w:id="12"/>
    <w:bookmarkStart w:id="13" w:name="X9449beb9f44d3e62979e169b6e0f57fc1e36ec5"/>
    <w:p>
      <w:pPr>
        <w:pStyle w:val="Heading2"/>
      </w:pPr>
      <w:r>
        <w:t xml:space="preserve">4. Nguyên tắc liêm chính khoa học (đã khai báo trong bản thảo P6)</w:t>
      </w:r>
    </w:p>
    <w:p>
      <w:pPr>
        <w:pStyle w:val="Compact"/>
        <w:numPr>
          <w:ilvl w:val="0"/>
          <w:numId w:val="1002"/>
        </w:numPr>
      </w:pPr>
      <w:r>
        <w:t xml:space="preserve">LLM chỉ trích xuất các đại lượng thống kê; ICRV, DPL và cDAI do PI gán thủ công (từ v7.0.1).</w:t>
      </w:r>
    </w:p>
    <w:p>
      <w:pPr>
        <w:pStyle w:val="Compact"/>
        <w:numPr>
          <w:ilvl w:val="0"/>
          <w:numId w:val="1002"/>
        </w:numPr>
      </w:pPr>
      <w:r>
        <w:t xml:space="preserve">Mọi giá trị do máy đề xuất đều qua xác minh của PI trước khi khóa; bản khóa là bất biến.</w:t>
      </w:r>
    </w:p>
    <w:p>
      <w:pPr>
        <w:pStyle w:val="Compact"/>
        <w:numPr>
          <w:ilvl w:val="0"/>
          <w:numId w:val="1002"/>
        </w:numPr>
      </w:pPr>
      <w:r>
        <w:t xml:space="preserve">Khai báo AI trong 4 gói bản thảo P6: công cụ hỗ trợ trích xuất, PI xác minh 100%, không dùng AI tạo sinh cho khâu chọn lọc, phân tích hay diễn giải.</w:t>
      </w:r>
    </w:p>
    <w:bookmarkEnd w:id="13"/>
    <w:bookmarkStart w:id="14" w:name="X42fd2530b3e1cec4a45968411481ecf280a7277"/>
    <w:p>
      <w:pPr>
        <w:pStyle w:val="Heading2"/>
      </w:pPr>
      <w:r>
        <w:t xml:space="preserve">5. Phát hành và trích dẫn</w:t>
      </w:r>
    </w:p>
    <w:p>
      <w:pPr>
        <w:pStyle w:val="Compact"/>
        <w:numPr>
          <w:ilvl w:val="0"/>
          <w:numId w:val="1003"/>
        </w:numPr>
      </w:pPr>
      <w:r>
        <w:t xml:space="preserve">Phiên bản 7.1.0 (09/07/2026): thêm đóng gói pip (PEP 621), bộ kiểm thử pytest, chuyển frontend sang Vite 6, CI GitHub Actions; 7.0.1 (10/06/2026): căn chỉnh schema với cơ sở dữ liệu P6. Chi tiết trong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Trích dẫn theo</w:t>
      </w:r>
      <w:r>
        <w:t xml:space="preserve"> </w:t>
      </w:r>
      <w:r>
        <w:rPr>
          <w:rStyle w:val="VerbatimChar"/>
        </w:rPr>
        <w:t xml:space="preserve">CITATION.cff</w:t>
      </w:r>
      <w:r>
        <w:t xml:space="preserve">; siêu dữ liệu Zenodo có sẵn trong</w:t>
      </w:r>
      <w:r>
        <w:t xml:space="preserve"> </w:t>
      </w:r>
      <w:r>
        <w:rPr>
          <w:rStyle w:val="VerbatimChar"/>
        </w:rPr>
        <w:t xml:space="preserve">.zenodo.json</w:t>
      </w:r>
      <w:r>
        <w:t xml:space="preserve">. Quy trình phát hành lấy DOI Zenodo: xem</w:t>
      </w:r>
      <w:r>
        <w:t xml:space="preserve"> </w:t>
      </w:r>
      <w:r>
        <w:rPr>
          <w:rStyle w:val="VerbatimChar"/>
        </w:rPr>
        <w:t xml:space="preserve">PUBLISHING.md</w:t>
      </w:r>
      <w:r>
        <w:t xml:space="preserve"> </w:t>
      </w:r>
      <w:r>
        <w:t xml:space="preserve">(sau khi có DOI, điền vào badge trong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và vào mục khai báo M-AIDA trong bản thảo P6 nếu cần).</w:t>
      </w:r>
    </w:p>
    <w:p>
      <w:pPr>
        <w:pStyle w:val="Compact"/>
        <w:numPr>
          <w:ilvl w:val="0"/>
          <w:numId w:val="1003"/>
        </w:numPr>
      </w:pPr>
      <w:r>
        <w:t xml:space="preserve">Giấy phép: Academic Source-Available (xem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).</w:t>
      </w:r>
    </w:p>
    <w:bookmarkEnd w:id="14"/>
    <w:bookmarkStart w:id="15" w:name="Xf8cf0af2deac6386f6f8556ecdafe416abc123b"/>
    <w:p>
      <w:pPr>
        <w:pStyle w:val="Heading2"/>
      </w:pPr>
      <w:r>
        <w:t xml:space="preserve">6. Kiểm tra an toàn trước khi chia sẻ (đã thực hiện khi đóng gói)</w:t>
      </w:r>
    </w:p>
    <w:p>
      <w:pPr>
        <w:pStyle w:val="Compact"/>
        <w:numPr>
          <w:ilvl w:val="0"/>
          <w:numId w:val="1004"/>
        </w:numPr>
      </w:pPr>
      <w:r>
        <w:t xml:space="preserve">Không có tệp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thật hay khóa API nào trong mã nguồn (chỉ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Không có dấu gạch dài trong tài liệu (README, CHANGELOG, PUBLISHING đã làm sạch).</w:t>
      </w:r>
    </w:p>
    <w:p>
      <w:pPr>
        <w:pStyle w:val="Compact"/>
        <w:numPr>
          <w:ilvl w:val="0"/>
          <w:numId w:val="1004"/>
        </w:numPr>
      </w:pPr>
      <w:r>
        <w:t xml:space="preserve">Phiên bản thống nhất 7.1.0 ở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CITATION.cff</w:t>
      </w:r>
      <w:r>
        <w:t xml:space="preserve">,</w:t>
      </w:r>
      <w:r>
        <w:t xml:space="preserve"> </w:t>
      </w:r>
      <w:r>
        <w:rPr>
          <w:rStyle w:val="VerbatimChar"/>
        </w:rPr>
        <w:t xml:space="preserve">.zenodo.json</w:t>
      </w:r>
      <w:r>
        <w:t xml:space="preserve">.</w:t>
      </w:r>
    </w:p>
    <w:bookmarkEnd w:id="15"/>
    <w:bookmarkEnd w:id="16"/>
    <w:sectPr>
      <w:pgSz w:h="16838" w:w="11906"/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180" w:before="180" w:line="276" w:lineRule="auto"/>
      <w:jc w:val="both"/>
    </w:pPr>
    <w:qFormat/>
    <w:rPr>
      <w:rFonts w:ascii="Times New Roman" w:eastAsia="Times New Roman" w:hAnsi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 w:line="276" w:lineRule="auto"/>
      <w:jc w:val="both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 w:line="276" w:lineRule="auto"/>
      <w:jc w:val="both"/>
    </w:pPr>
    <w:rPr>
      <w:rFonts w:ascii="Times New Roman" w:eastAsia="Times New Roman" w:hAnsi="Times New Roman"/>
      <w:color w:val="00000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Date" w:type="paragraph">
    <w:name w:val="Date"/>
    <w:next w:val="BodyText"/>
    <w:qFormat/>
    <w:pPr>
      <w:keepNext/>
      <w:keepLines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both"/>
      <w:spacing w:after="0" w:before="300" w:line="276" w:lineRule="auto"/>
    </w:pPr>
    <w:rPr>
      <w:color w:val="000000"/>
      <w:sz w:val="24"/>
      <w:szCs w:val="20"/>
      <w:rFonts w:ascii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276" w:lineRule="auto"/>
      <w:jc w:val="both"/>
    </w:pPr>
    <w:rPr>
      <w:rFonts w:ascii="Times New Roman" w:eastAsia="Times New Roman" w:hAnsi="Times New Roman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 w:line="276" w:lineRule="auto"/>
      <w:jc w:val="both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2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3"/>
    </w:pPr>
    <w:rPr>
      <w:rFonts w:ascii="Times New Roman" w:asciiTheme="majorHAnsi" w:cstheme="majorBidi" w:eastAsia="Times New Roman" w:eastAsiaTheme="majorEastAsia" w:hAnsi="Times New Roman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4"/>
    </w:pPr>
    <w:rPr>
      <w:rFonts w:ascii="Times New Roman" w:asciiTheme="majorHAnsi" w:cstheme="majorBidi" w:eastAsia="Times New Roman" w:eastAsiaTheme="majorEastAsia" w:hAnsi="Times New Roman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5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6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7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8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276" w:lineRule="auto"/>
      <w:ind w:firstLine="0" w:left="480" w:right="480"/>
      <w:jc w:val="both"/>
    </w:pPr>
    <w:rPr>
      <w:rFonts w:ascii="Times New Roman" w:eastAsia="Times New Roman" w:hAnsi="Times New Roman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default="1" w:styleId="DefaultParagraphFont" w:type="character">
    <w:name w:val="Default Paragraph Font"/>
    <w:semiHidden/>
    <w:unhideWhenUsed/>
    <w:rPr>
      <w:rFonts w:ascii="Times New Roman" w:eastAsia="Times New Roman" w:hAnsi="Times New Roman"/>
      <w:color w:val="000000"/>
      <w:sz w:val="24"/>
    </w:rPr>
  </w:style>
  <w:style w:default="1" w:styleId="Table" w:type="table">
    <w:name w:val="Table"/>
    <w:basedOn w:val="TableNormal"/>
    <w:semiHidden/>
    <w:unhideWhenUsed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276" w:lineRule="auto"/>
      <w:jc w:val="both"/>
    </w:pPr>
    <w:rPr>
      <w:rFonts w:ascii="Times New Roman" w:eastAsia="Times New Roman" w:hAnsi="Times New Roman"/>
      <w:b/>
      <w:color w:val="000000"/>
      <w:sz w:val="24"/>
    </w:rPr>
  </w:style>
  <w:style w:customStyle="1" w:styleId="Definition" w:type="paragraph">
    <w:name w:val="Definition"/>
    <w:basedOn w:val="Normal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Caption" w:type="paragraph">
    <w:name w:val="Caption"/>
    <w:basedOn w:val="Normal"/>
    <w:link w:val="BodyTextChar"/>
    <w:pPr>
      <w:spacing w:after="120" w:before="0" w:line="276" w:lineRule="auto"/>
      <w:jc w:val="both"/>
    </w:pPr>
    <w:rPr>
      <w:rFonts w:ascii="Times New Roman" w:eastAsia="Times New Roman" w:hAnsi="Times New Roman"/>
      <w:i/>
      <w:color w:val="000000"/>
      <w:sz w:val="24"/>
    </w:rPr>
  </w:style>
  <w:style w:customStyle="1" w:styleId="TableCaption" w:type="paragraph">
    <w:name w:val="Table Caption"/>
    <w:basedOn w:val="Caption"/>
    <w:pPr>
      <w:keepNext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ImageCaption" w:type="paragraph">
    <w:name w:val="Image Caption"/>
    <w:basedOn w:val="Caption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Figure" w:type="paragraph">
    <w:name w:val="Figure"/>
    <w:basedOn w:val="Normal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CaptionedFigure" w:type="paragraph">
    <w:name w:val="Captioned Figure"/>
    <w:basedOn w:val="Figure"/>
    <w:pPr>
      <w:keepNext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rPr>
      <w:rFonts w:ascii="Times New Roman" w:eastAsia="Times New Roman" w:hAnsi="Times New Roman"/>
      <w:color w:val="000000"/>
      <w:sz w:val="24"/>
    </w:rPr>
  </w:style>
  <w:style w:customStyle="1" w:styleId="VerbatimChar" w:type="character">
    <w:name w:val="Verbatim Char"/>
    <w:basedOn w:val="BodyTextChar"/>
    <w:rPr>
      <w:rFonts w:ascii="Times New Roman" w:eastAsia="Times New Roman" w:hAnsi="Times New Roman"/>
      <w:color w:val="000000"/>
      <w:sz w:val="24"/>
    </w:rPr>
  </w:style>
  <w:style w:customStyle="1" w:styleId="SectionNumber" w:type="character">
    <w:name w:val="Section Number"/>
    <w:basedOn w:val="BodyTextChar"/>
    <w:rPr>
      <w:rFonts w:ascii="Times New Roman" w:eastAsia="Times New Roman" w:hAnsi="Times New Roman"/>
      <w:color w:val="000000"/>
      <w:sz w:val="24"/>
    </w:rPr>
  </w:style>
  <w:style w:styleId="FootnoteReference" w:type="character">
    <w:name w:val="Footnote Reference"/>
    <w:basedOn w:val="BodyTextChar"/>
    <w:rPr>
      <w:rFonts w:ascii="Times New Roman" w:eastAsia="Times New Roman" w:hAnsi="Times New Roman"/>
      <w:color w:val="000000"/>
      <w:sz w:val="24"/>
      <w:vertAlign w:val="superscript"/>
    </w:rPr>
  </w:style>
  <w:style w:styleId="Hyperlink" w:type="character">
    <w:name w:val="Hyperlink"/>
    <w:basedOn w:val="BodyTextChar"/>
    <w:rPr>
      <w:rFonts w:ascii="Times New Roman" w:eastAsia="Times New Roman" w:hAnsi="Times New Roman"/>
      <w:color w:val="000000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76" w:lineRule="auto"/>
      <w:jc w:val="both"/>
      <w:outlineLvl w:val="9"/>
    </w:pPr>
    <w:rPr>
      <w:rFonts w:ascii="Times New Roman" w:asciiTheme="majorHAnsi" w:cstheme="majorBidi" w:eastAsia="Times New Roman" w:eastAsiaTheme="majorEastAsia" w:hAnsi="Times New Roman" w:hAnsiTheme="majorHAnsi"/>
      <w:b w:val="0"/>
      <w:bCs w:val="0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2026-07-09T01:58:09Z</dcterms:created>
  <dcterms:modified xsi:type="dcterms:W3CDTF">2026-07-09T01:58:09Z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