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2355B"/>
          <w:sz w:val="34"/>
          <w:szCs w:val="34"/>
        </w:rPr>
        <w:t xml:space="preserve">KỊCH BẢN LỜI BÌNH — VOICE-OVER SCRIPT</w:t>
      </w:r>
    </w:p>
    <w:p>
      <w:pPr>
        <w:spacing w:after="40"/>
      </w:pPr>
      <w:r>
        <w:rPr>
          <w:rFonts w:ascii="Arial" w:cs="Arial" w:eastAsia="Arial" w:hAnsi="Arial"/>
          <w:color w:val="1B2A3D"/>
          <w:sz w:val="24"/>
          <w:szCs w:val="24"/>
        </w:rPr>
        <w:t xml:space="preserve">Chống tham nhũng trong kỷ nguyên số: phản bác luận điệu xuyên tạc và củng cố nền tảng tư tưởng của Đảng</w:t>
      </w:r>
    </w:p>
    <w:p>
      <w:pPr>
        <w:spacing w:after="200"/>
      </w:pPr>
      <w:r>
        <w:rPr>
          <w:rFonts w:ascii="Arial" w:cs="Arial" w:eastAsia="Arial" w:hAnsi="Arial"/>
          <w:color w:val="6B7C8F"/>
          <w:sz w:val="20"/>
          <w:szCs w:val="20"/>
        </w:rPr>
        <w:t xml:space="preserve">TS. Phan Anh Tú · Trường Kinh tế, Đại học Cần Thơ · Bám theo deck 10 slide</w:t>
      </w:r>
    </w:p>
    <w:p>
      <w:pPr>
        <w:pBdr>
          <w:bottom w:val="single" w:color="DCE3EC" w:sz="6"/>
        </w:pBdr>
        <w:spacing w:after="160" w:before="40"/>
      </w:pPr>
      <w:r>
        <w:rPr>
          <w:sz w:val="2"/>
          <w:szCs w:val="2"/>
        </w:rPr>
        <w:t xml:space="preserve"/>
      </w:r>
    </w:p>
    <w:p>
      <w:pPr>
        <w:pStyle w:val="Heading2"/>
        <w:spacing w:after="100" w:before="280"/>
      </w:pPr>
      <w:r>
        <w:rPr>
          <w:rFonts w:ascii="Arial" w:cs="Arial" w:eastAsia="Arial" w:hAnsi="Arial"/>
          <w:b/>
          <w:bCs/>
          <w:color w:val="12355B"/>
          <w:sz w:val="24"/>
          <w:szCs w:val="24"/>
        </w:rPr>
        <w:t xml:space="preserve">THÔNG SỐ THU ÂM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Thông số</w:t>
            </w:r>
          </w:p>
        </w:tc>
        <w:tc>
          <w:tcPr>
            <w:tcW w:type="dxa" w:w="64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Giá trị</w:t>
            </w:r>
          </w:p>
        </w:tc>
      </w:tr>
      <w:tr>
        <w:trPr>
          <w:tblHeader w:val="false"/>
        </w:trPr>
        <w:tc>
          <w:tcPr>
            <w:tcW w:type="dxa" w:w="2600"/>
            <w:shd w:fill="F4F7FA" w:val="clear"/>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Tổng dung lượng chữ</w:t>
            </w:r>
          </w:p>
        </w:tc>
        <w:tc>
          <w:tcPr>
            <w:tcW w:type="dxa" w:w="6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3223 âm tiết</w:t>
            </w:r>
          </w:p>
        </w:tc>
      </w:tr>
      <w:tr>
        <w:trPr>
          <w:tblHeader w:val="false"/>
        </w:trPr>
        <w:tc>
          <w:tcPr>
            <w:tcW w:type="dxa" w:w="2600"/>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Tốc độ chuẩn</w:t>
            </w:r>
          </w:p>
        </w:tc>
        <w:tc>
          <w:tcPr>
            <w:tcW w:type="dxa" w:w="6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165 âm tiết/phút — nhịp thuyết minh phóng sự tiếng Việt, trang trọng, không hối hả</w:t>
            </w:r>
          </w:p>
        </w:tc>
      </w:tr>
      <w:tr>
        <w:trPr>
          <w:tblHeader w:val="false"/>
        </w:trPr>
        <w:tc>
          <w:tcPr>
            <w:tcW w:type="dxa" w:w="2600"/>
            <w:shd w:fill="F4F7FA" w:val="clear"/>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Thời lượng đọc thuần</w:t>
            </w:r>
          </w:p>
        </w:tc>
        <w:tc>
          <w:tcPr>
            <w:tcW w:type="dxa" w:w="6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19:32</w:t>
            </w:r>
          </w:p>
        </w:tc>
      </w:tr>
      <w:tr>
        <w:trPr>
          <w:tblHeader w:val="false"/>
        </w:trPr>
        <w:tc>
          <w:tcPr>
            <w:tcW w:type="dxa" w:w="2600"/>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Khoảng lặng chuyển slide</w:t>
            </w:r>
          </w:p>
        </w:tc>
        <w:tc>
          <w:tcPr>
            <w:tcW w:type="dxa" w:w="6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1,5 giây × 9 lần ≈ 14 giây</w:t>
            </w:r>
          </w:p>
        </w:tc>
      </w:tr>
      <w:tr>
        <w:trPr>
          <w:tblHeader w:val="false"/>
        </w:trPr>
        <w:tc>
          <w:tcPr>
            <w:tcW w:type="dxa" w:w="2600"/>
            <w:shd w:fill="F4F7FA" w:val="clear"/>
            <w:tcMar>
              <w:top w:type="dxa" w:w="70"/>
              <w:left w:type="dxa" w:w="100"/>
              <w:bottom w:type="dxa" w:w="70"/>
              <w:right w:type="dxa" w:w="100"/>
            </w:tcMar>
          </w:tcPr>
          <w:p>
            <w:pPr>
              <w:spacing w:after="0" w:line="240"/>
              <w:jc w:val="left"/>
            </w:pPr>
            <w:r>
              <w:rPr>
                <w:rFonts w:ascii="Arial" w:cs="Arial" w:eastAsia="Arial" w:hAnsi="Arial"/>
                <w:b/>
                <w:bCs/>
                <w:color w:val="12355B"/>
                <w:sz w:val="22"/>
                <w:szCs w:val="22"/>
              </w:rPr>
              <w:t xml:space="preserve">TỔNG THỜI LƯỢNG DỰ KIẾN</w:t>
            </w:r>
          </w:p>
        </w:tc>
        <w:tc>
          <w:tcPr>
            <w:tcW w:type="dxa" w:w="6400"/>
            <w:shd w:fill="F4F7FA" w:val="clear"/>
            <w:tcMar>
              <w:top w:type="dxa" w:w="70"/>
              <w:left w:type="dxa" w:w="100"/>
              <w:bottom w:type="dxa" w:w="70"/>
              <w:right w:type="dxa" w:w="100"/>
            </w:tcMar>
          </w:tcPr>
          <w:p>
            <w:pPr>
              <w:spacing w:after="0" w:line="240"/>
              <w:jc w:val="left"/>
            </w:pPr>
            <w:r>
              <w:rPr>
                <w:rFonts w:ascii="Arial" w:cs="Arial" w:eastAsia="Arial" w:hAnsi="Arial"/>
                <w:b/>
                <w:bCs/>
                <w:color w:val="12355B"/>
                <w:sz w:val="22"/>
                <w:szCs w:val="22"/>
              </w:rPr>
              <w:t xml:space="preserve">≈ 19:46 — nằm trong khung 15–20 phút của deck</w:t>
            </w:r>
          </w:p>
        </w:tc>
      </w:tr>
      <w:tr>
        <w:trPr>
          <w:tblHeader w:val="false"/>
        </w:trPr>
        <w:tc>
          <w:tcPr>
            <w:tcW w:type="dxa" w:w="2600"/>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Chất giọng đề xuất</w:t>
            </w:r>
          </w:p>
        </w:tc>
        <w:tc>
          <w:tcPr>
            <w:tcW w:type="dxa" w:w="6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Nam trung, trầm, chắc; giọng chuẩn phát thanh quốc gia</w:t>
            </w:r>
          </w:p>
        </w:tc>
      </w:tr>
      <w:tr>
        <w:trPr>
          <w:tblHeader w:val="false"/>
        </w:trPr>
        <w:tc>
          <w:tcPr>
            <w:tcW w:type="dxa" w:w="2600"/>
            <w:shd w:fill="F4F7FA" w:val="clear"/>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Quy ước ngắt hơi</w:t>
            </w:r>
          </w:p>
        </w:tc>
        <w:tc>
          <w:tcPr>
            <w:tcW w:type="dxa" w:w="6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Dấu phẩy = 0,3s · dấu chấm = 0,5s · dấu gạch ngang dài (—) = 0,4s · xuống đoạn = 0,7s</w:t>
            </w:r>
          </w:p>
        </w:tc>
      </w:tr>
      <w:tr>
        <w:trPr>
          <w:tblHeader w:val="false"/>
        </w:trPr>
        <w:tc>
          <w:tcPr>
            <w:tcW w:type="dxa" w:w="2600"/>
            <w:tcMar>
              <w:top w:type="dxa" w:w="70"/>
              <w:left w:type="dxa" w:w="100"/>
              <w:bottom w:type="dxa" w:w="70"/>
              <w:right w:type="dxa" w:w="100"/>
            </w:tcMar>
          </w:tcPr>
          <w:p>
            <w:pPr>
              <w:spacing w:after="0" w:line="240"/>
              <w:jc w:val="left"/>
            </w:pPr>
            <w:r>
              <w:rPr>
                <w:rFonts w:ascii="Arial" w:cs="Arial" w:eastAsia="Arial" w:hAnsi="Arial"/>
                <w:b/>
                <w:bCs/>
                <w:color w:val="1B2A3D"/>
                <w:sz w:val="22"/>
                <w:szCs w:val="22"/>
              </w:rPr>
              <w:t xml:space="preserve">Chữ in đậm</w:t>
            </w:r>
          </w:p>
        </w:tc>
        <w:tc>
          <w:tcPr>
            <w:tcW w:type="dxa" w:w="6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Trọng âm — nhấn nhẹ và HẠ tốc độ; không lên giọng cao</w:t>
            </w:r>
          </w:p>
        </w:tc>
      </w:tr>
    </w:tbl>
    <w:p>
      <w:pPr>
        <w:spacing w:after="80" w:before="160" w:line="360"/>
        <w:jc w:val="left"/>
      </w:pPr>
      <w:r>
        <w:rPr>
          <w:rFonts w:ascii="Arial" w:cs="Arial" w:eastAsia="Arial" w:hAnsi="Arial"/>
          <w:b/>
          <w:bCs/>
          <w:color w:val="D32F2F"/>
          <w:sz w:val="23"/>
          <w:szCs w:val="23"/>
        </w:rPr>
        <w:t xml:space="preserve">PHƯƠNG ÁN RÚT GỌN CÒN ~15 PHÚT (nếu bị cắt thời lượng):</w:t>
      </w:r>
    </w:p>
    <w:p>
      <w:pPr>
        <w:spacing w:after="70" w:before="0" w:line="280"/>
      </w:pPr>
      <w:r>
        <w:rPr>
          <w:rFonts w:ascii="Arial" w:cs="Arial" w:eastAsia="Arial" w:hAnsi="Arial"/>
          <w:b/>
          <w:bCs/>
          <w:color w:val="D32F2F"/>
          <w:sz w:val="22"/>
          <w:szCs w:val="22"/>
        </w:rPr>
        <w:t xml:space="preserve">–  </w:t>
      </w:r>
      <w:r>
        <w:rPr>
          <w:rFonts w:ascii="Arial" w:cs="Arial" w:eastAsia="Arial" w:hAnsi="Arial"/>
          <w:color w:val="1B2A3D"/>
          <w:sz w:val="22"/>
          <w:szCs w:val="22"/>
        </w:rPr>
        <w:t xml:space="preserve">Slide 3 — lược đoạn cuối (“Và trong kỷ nguyên số, tham nhũng còn có thể vận hành…”): nội dung này được nói lại ở slide 4, trục thứ tư.</w:t>
      </w:r>
    </w:p>
    <w:p>
      <w:pPr>
        <w:spacing w:after="70" w:before="0" w:line="280"/>
      </w:pPr>
      <w:r>
        <w:rPr>
          <w:rFonts w:ascii="Arial" w:cs="Arial" w:eastAsia="Arial" w:hAnsi="Arial"/>
          <w:b/>
          <w:bCs/>
          <w:color w:val="D32F2F"/>
          <w:sz w:val="22"/>
          <w:szCs w:val="22"/>
        </w:rPr>
        <w:t xml:space="preserve">–  </w:t>
      </w:r>
      <w:r>
        <w:rPr>
          <w:rFonts w:ascii="Arial" w:cs="Arial" w:eastAsia="Arial" w:hAnsi="Arial"/>
          <w:color w:val="1B2A3D"/>
          <w:sz w:val="22"/>
          <w:szCs w:val="22"/>
        </w:rPr>
        <w:t xml:space="preserve">Slide 5 — lược phần dẫn giải của luận điệu thứ hai, chỉ giữ câu phản chứng cốt lõi.</w:t>
      </w:r>
    </w:p>
    <w:p>
      <w:pPr>
        <w:spacing w:after="70" w:before="0" w:line="280"/>
      </w:pPr>
      <w:r>
        <w:rPr>
          <w:rFonts w:ascii="Arial" w:cs="Arial" w:eastAsia="Arial" w:hAnsi="Arial"/>
          <w:b/>
          <w:bCs/>
          <w:color w:val="D32F2F"/>
          <w:sz w:val="22"/>
          <w:szCs w:val="22"/>
        </w:rPr>
        <w:t xml:space="preserve">–  </w:t>
      </w:r>
      <w:r>
        <w:rPr>
          <w:rFonts w:ascii="Arial" w:cs="Arial" w:eastAsia="Arial" w:hAnsi="Arial"/>
          <w:color w:val="1B2A3D"/>
          <w:sz w:val="22"/>
          <w:szCs w:val="22"/>
        </w:rPr>
        <w:t xml:space="preserve">Slide 7 — lược câu kinh nghiệm quốc tế (Estonia, Hàn Quốc, Ấn Độ); giữ nguyên phần rủi ro.</w:t>
      </w:r>
    </w:p>
    <w:p>
      <w:pPr>
        <w:spacing w:after="70" w:before="0" w:line="280"/>
      </w:pPr>
      <w:r>
        <w:rPr>
          <w:rFonts w:ascii="Arial" w:cs="Arial" w:eastAsia="Arial" w:hAnsi="Arial"/>
          <w:b/>
          <w:bCs/>
          <w:color w:val="D32F2F"/>
          <w:sz w:val="22"/>
          <w:szCs w:val="22"/>
        </w:rPr>
        <w:t xml:space="preserve">–  </w:t>
      </w:r>
      <w:r>
        <w:rPr>
          <w:rFonts w:ascii="Arial" w:cs="Arial" w:eastAsia="Arial" w:hAnsi="Arial"/>
          <w:color w:val="1B2A3D"/>
          <w:sz w:val="22"/>
          <w:szCs w:val="22"/>
        </w:rPr>
        <w:t xml:space="preserve">Slide 8 — lược đoạn OECD, giữ lại câu “báo cáo đẹp không đồng nghĩa với liêm chính thật”.</w:t>
      </w:r>
    </w:p>
    <w:p>
      <w:pPr>
        <w:spacing w:after="70" w:before="0" w:line="280"/>
      </w:pPr>
      <w:r>
        <w:rPr>
          <w:rFonts w:ascii="Arial" w:cs="Arial" w:eastAsia="Arial" w:hAnsi="Arial"/>
          <w:b/>
          <w:bCs/>
          <w:color w:val="D32F2F"/>
          <w:sz w:val="22"/>
          <w:szCs w:val="22"/>
        </w:rPr>
        <w:t xml:space="preserve">–  </w:t>
      </w:r>
      <w:r>
        <w:rPr>
          <w:rFonts w:ascii="Arial" w:cs="Arial" w:eastAsia="Arial" w:hAnsi="Arial"/>
          <w:color w:val="1B2A3D"/>
          <w:sz w:val="22"/>
          <w:szCs w:val="22"/>
        </w:rPr>
        <w:t xml:space="preserve">TUYỆT ĐỐI KHÔNG cắt: slide 7 (đóng góp cốt lõi) và câu lưu ý về thang điểm quy đổi ở cuối slide 8.</w:t>
      </w:r>
    </w:p>
    <w:p>
      <w:pPr>
        <w:pStyle w:val="Heading2"/>
        <w:spacing w:after="100" w:before="280"/>
      </w:pPr>
      <w:r>
        <w:rPr>
          <w:rFonts w:ascii="Arial" w:cs="Arial" w:eastAsia="Arial" w:hAnsi="Arial"/>
          <w:b/>
          <w:bCs/>
          <w:color w:val="12355B"/>
          <w:sz w:val="24"/>
          <w:szCs w:val="24"/>
        </w:rPr>
        <w:t xml:space="preserve">BẢNG TIMECODE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700"/>
        <w:gridCol w:w="1700"/>
        <w:gridCol w:w="900"/>
      </w:tblGrid>
      <w:tr>
        <w:trPr>
          <w:tblHeader/>
        </w:trPr>
        <w:tc>
          <w:tcPr>
            <w:tcW w:type="dxa" w:w="11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Slide</w:t>
            </w:r>
          </w:p>
        </w:tc>
        <w:tc>
          <w:tcPr>
            <w:tcW w:type="dxa" w:w="36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Nội dung</w:t>
            </w:r>
          </w:p>
        </w:tc>
        <w:tc>
          <w:tcPr>
            <w:tcW w:type="dxa" w:w="17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Bắt đầu</w:t>
            </w:r>
          </w:p>
        </w:tc>
        <w:tc>
          <w:tcPr>
            <w:tcW w:type="dxa" w:w="17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Kết thúc</w:t>
            </w:r>
          </w:p>
        </w:tc>
        <w:tc>
          <w:tcPr>
            <w:tcW w:type="dxa" w:w="9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Âm tiết</w:t>
            </w:r>
          </w:p>
        </w:tc>
      </w:tr>
      <w:tr>
        <w:trPr>
          <w:tblHeader w:val="false"/>
        </w:trPr>
        <w:tc>
          <w:tcPr>
            <w:tcW w:type="dxa" w:w="1100"/>
            <w:shd w:fill="F4F7FA" w:val="clear"/>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1</w:t>
            </w:r>
          </w:p>
        </w:tc>
        <w:tc>
          <w:tcPr>
            <w:tcW w:type="dxa" w:w="36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BÌA / ĐỀ DẪN</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00:00</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00:28</w:t>
            </w:r>
          </w:p>
        </w:tc>
        <w:tc>
          <w:tcPr>
            <w:tcW w:type="dxa" w:w="9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77</w:t>
            </w:r>
          </w:p>
        </w:tc>
      </w:tr>
      <w:tr>
        <w:trPr>
          <w:tblHeader w:val="false"/>
        </w:trPr>
        <w:tc>
          <w:tcPr>
            <w:tcW w:type="dxa" w:w="1100"/>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2</w:t>
            </w:r>
          </w:p>
        </w:tc>
        <w:tc>
          <w:tcPr>
            <w:tcW w:type="dxa" w:w="36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VẤN ĐỀ</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00:28</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02:08</w:t>
            </w:r>
          </w:p>
        </w:tc>
        <w:tc>
          <w:tcPr>
            <w:tcW w:type="dxa" w:w="9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276</w:t>
            </w:r>
          </w:p>
        </w:tc>
      </w:tr>
      <w:tr>
        <w:trPr>
          <w:tblHeader w:val="false"/>
        </w:trPr>
        <w:tc>
          <w:tcPr>
            <w:tcW w:type="dxa" w:w="1100"/>
            <w:shd w:fill="F4F7FA" w:val="clear"/>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3</w:t>
            </w:r>
          </w:p>
        </w:tc>
        <w:tc>
          <w:tcPr>
            <w:tcW w:type="dxa" w:w="36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KHUNG KHÁI NIỆM</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02:08</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04:17</w:t>
            </w:r>
          </w:p>
        </w:tc>
        <w:tc>
          <w:tcPr>
            <w:tcW w:type="dxa" w:w="9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355</w:t>
            </w:r>
          </w:p>
        </w:tc>
      </w:tr>
      <w:tr>
        <w:trPr>
          <w:tblHeader w:val="false"/>
        </w:trPr>
        <w:tc>
          <w:tcPr>
            <w:tcW w:type="dxa" w:w="1100"/>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4</w:t>
            </w:r>
          </w:p>
        </w:tc>
        <w:tc>
          <w:tcPr>
            <w:tcW w:type="dxa" w:w="36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PHÂN LOẠI</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04:17</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06:25</w:t>
            </w:r>
          </w:p>
        </w:tc>
        <w:tc>
          <w:tcPr>
            <w:tcW w:type="dxa" w:w="9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352</w:t>
            </w:r>
          </w:p>
        </w:tc>
      </w:tr>
      <w:tr>
        <w:trPr>
          <w:tblHeader w:val="false"/>
        </w:trPr>
        <w:tc>
          <w:tcPr>
            <w:tcW w:type="dxa" w:w="1100"/>
            <w:shd w:fill="F4F7FA" w:val="clear"/>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5</w:t>
            </w:r>
          </w:p>
        </w:tc>
        <w:tc>
          <w:tcPr>
            <w:tcW w:type="dxa" w:w="36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PHẢN BÁC BỐN LUẬN ĐIỆU</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06:25</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09:20</w:t>
            </w:r>
          </w:p>
        </w:tc>
        <w:tc>
          <w:tcPr>
            <w:tcW w:type="dxa" w:w="9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480</w:t>
            </w:r>
          </w:p>
        </w:tc>
      </w:tr>
      <w:tr>
        <w:trPr>
          <w:tblHeader w:val="false"/>
        </w:trPr>
        <w:tc>
          <w:tcPr>
            <w:tcW w:type="dxa" w:w="1100"/>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6</w:t>
            </w:r>
          </w:p>
        </w:tc>
        <w:tc>
          <w:tcPr>
            <w:tcW w:type="dxa" w:w="36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BẰNG CHỨNG</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09:20</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11:54</w:t>
            </w:r>
          </w:p>
        </w:tc>
        <w:tc>
          <w:tcPr>
            <w:tcW w:type="dxa" w:w="9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424</w:t>
            </w:r>
          </w:p>
        </w:tc>
      </w:tr>
      <w:tr>
        <w:trPr>
          <w:tblHeader w:val="false"/>
        </w:trPr>
        <w:tc>
          <w:tcPr>
            <w:tcW w:type="dxa" w:w="1100"/>
            <w:shd w:fill="F4F7FA" w:val="clear"/>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7</w:t>
            </w:r>
          </w:p>
        </w:tc>
        <w:tc>
          <w:tcPr>
            <w:tcW w:type="dxa" w:w="36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“LỒNG CÔNG NGHỆ” (CỐT LÕI)</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11:54</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14:48</w:t>
            </w:r>
          </w:p>
        </w:tc>
        <w:tc>
          <w:tcPr>
            <w:tcW w:type="dxa" w:w="9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477</w:t>
            </w:r>
          </w:p>
        </w:tc>
      </w:tr>
      <w:tr>
        <w:trPr>
          <w:tblHeader w:val="false"/>
        </w:trPr>
        <w:tc>
          <w:tcPr>
            <w:tcW w:type="dxa" w:w="1100"/>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8</w:t>
            </w:r>
          </w:p>
        </w:tc>
        <w:tc>
          <w:tcPr>
            <w:tcW w:type="dxa" w:w="36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BỐN TRỤ CỘT GIẢI PHÁP</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14:48</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17:13</w:t>
            </w:r>
          </w:p>
        </w:tc>
        <w:tc>
          <w:tcPr>
            <w:tcW w:type="dxa" w:w="9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400</w:t>
            </w:r>
          </w:p>
        </w:tc>
      </w:tr>
      <w:tr>
        <w:trPr>
          <w:tblHeader w:val="false"/>
        </w:trPr>
        <w:tc>
          <w:tcPr>
            <w:tcW w:type="dxa" w:w="1100"/>
            <w:shd w:fill="F4F7FA" w:val="clear"/>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9</w:t>
            </w:r>
          </w:p>
        </w:tc>
        <w:tc>
          <w:tcPr>
            <w:tcW w:type="dxa" w:w="36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KHUNG TÍCH HỢP</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17:13</w:t>
            </w:r>
          </w:p>
        </w:tc>
        <w:tc>
          <w:tcPr>
            <w:tcW w:type="dxa" w:w="17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18:37</w:t>
            </w:r>
          </w:p>
        </w:tc>
        <w:tc>
          <w:tcPr>
            <w:tcW w:type="dxa" w:w="900"/>
            <w:shd w:fill="F4F7FA" w:val="clear"/>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230</w:t>
            </w:r>
          </w:p>
        </w:tc>
      </w:tr>
      <w:tr>
        <w:trPr>
          <w:tblHeader w:val="false"/>
        </w:trPr>
        <w:tc>
          <w:tcPr>
            <w:tcW w:type="dxa" w:w="1100"/>
            <w:tcMar>
              <w:top w:type="dxa" w:w="70"/>
              <w:left w:type="dxa" w:w="100"/>
              <w:bottom w:type="dxa" w:w="70"/>
              <w:right w:type="dxa" w:w="100"/>
            </w:tcMar>
          </w:tcPr>
          <w:p>
            <w:pPr>
              <w:spacing w:after="0" w:line="240"/>
              <w:jc w:val="center"/>
            </w:pPr>
            <w:r>
              <w:rPr>
                <w:rFonts w:ascii="Arial" w:cs="Arial" w:eastAsia="Arial" w:hAnsi="Arial"/>
                <w:b/>
                <w:bCs/>
                <w:color w:val="1B2A3D"/>
                <w:sz w:val="22"/>
                <w:szCs w:val="22"/>
              </w:rPr>
              <w:t xml:space="preserve">10</w:t>
            </w:r>
          </w:p>
        </w:tc>
        <w:tc>
          <w:tcPr>
            <w:tcW w:type="dxa" w:w="36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KẾT LUẬN</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18:37</w:t>
            </w:r>
          </w:p>
        </w:tc>
        <w:tc>
          <w:tcPr>
            <w:tcW w:type="dxa" w:w="17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19:32</w:t>
            </w:r>
          </w:p>
        </w:tc>
        <w:tc>
          <w:tcPr>
            <w:tcW w:type="dxa" w:w="900"/>
            <w:tcMar>
              <w:top w:type="dxa" w:w="70"/>
              <w:left w:type="dxa" w:w="100"/>
              <w:bottom w:type="dxa" w:w="70"/>
              <w:right w:type="dxa" w:w="100"/>
            </w:tcMar>
          </w:tcPr>
          <w:p>
            <w:pPr>
              <w:spacing w:after="0" w:line="240"/>
              <w:jc w:val="center"/>
            </w:pPr>
            <w:r>
              <w:rPr>
                <w:rFonts w:ascii="Arial" w:cs="Arial" w:eastAsia="Arial" w:hAnsi="Arial"/>
                <w:color w:val="1B2A3D"/>
                <w:sz w:val="22"/>
                <w:szCs w:val="22"/>
              </w:rPr>
              <w:t xml:space="preserve">152</w:t>
            </w:r>
          </w:p>
        </w:tc>
      </w:tr>
    </w:tbl>
    <w:p>
      <w:pPr>
        <w:spacing w:after="200" w:before="0" w:line="360"/>
        <w:jc w:val="left"/>
      </w:pPr>
      <w:r>
        <w:rPr>
          <w:rFonts w:ascii="Arial" w:cs="Arial" w:eastAsia="Arial" w:hAnsi="Arial"/>
          <w:i/>
          <w:iCs/>
          <w:color w:val="6B7C8F"/>
          <w:sz w:val="20"/>
          <w:szCs w:val="20"/>
        </w:rPr>
        <w:t xml:space="preserve">Timecode tính theo tốc độ 165 âm tiết/phút, chưa cộng khoảng lặng chuyển slide. Khi dựng, cộng dồn 1,5 giây sau mỗi slide.</w:t>
      </w:r>
    </w:p>
    <w:p>
      <w:pPr>
        <w:pageBreakBefore/>
      </w:pPr>
    </w:p>
    <w:p>
      <w:pPr>
        <w:pStyle w:val="Heading1"/>
        <w:spacing w:after="160" w:before="320"/>
      </w:pPr>
      <w:r>
        <w:rPr>
          <w:rFonts w:ascii="Arial" w:cs="Arial" w:eastAsia="Arial" w:hAnsi="Arial"/>
          <w:b/>
          <w:bCs/>
          <w:color w:val="12355B"/>
          <w:sz w:val="30"/>
          <w:szCs w:val="30"/>
        </w:rPr>
        <w:t xml:space="preserve">KỊCH BẢN ĐỌC</w:t>
      </w:r>
    </w:p>
    <w:p>
      <w:pPr>
        <w:shd w:fill="12355B" w:val="clear"/>
        <w:spacing w:after="0" w:before="360"/>
      </w:pPr>
      <w:r>
        <w:rPr>
          <w:rFonts w:ascii="Arial" w:cs="Arial" w:eastAsia="Arial" w:hAnsi="Arial"/>
          <w:b/>
          <w:bCs/>
          <w:color w:val="FFFFFF"/>
          <w:sz w:val="24"/>
          <w:szCs w:val="24"/>
        </w:rPr>
        <w:t xml:space="preserve">  SLIDE 1  —  BÌA / ĐỀ DẪN</w:t>
      </w:r>
    </w:p>
    <w:p>
      <w:pPr>
        <w:shd w:fill="E7EDF5" w:val="clear"/>
        <w:spacing w:after="140" w:before="0"/>
      </w:pPr>
      <w:r>
        <w:rPr>
          <w:rFonts w:ascii="Arial" w:cs="Arial" w:eastAsia="Arial" w:hAnsi="Arial"/>
          <w:b/>
          <w:bCs/>
          <w:color w:val="12355B"/>
          <w:sz w:val="19"/>
          <w:szCs w:val="19"/>
        </w:rPr>
        <w:t xml:space="preserve">  00:00 – 00:28   |   Thời lượng 00:28   |   77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Trang trọng, chậm, rõ. Ngắt 1 giây sau “Kính thưa quý vị”. Câu cuối đọc chậm hẳn lại — đây là luận điểm chi phối.</w:t>
      </w:r>
    </w:p>
    <w:p>
      <w:pPr>
        <w:spacing w:after="160" w:before="0" w:line="380"/>
      </w:pPr>
      <w:r>
        <w:rPr>
          <w:rFonts w:ascii="Arial" w:cs="Arial" w:eastAsia="Arial" w:hAnsi="Arial"/>
          <w:color w:val="1B2A3D"/>
          <w:sz w:val="26"/>
          <w:szCs w:val="26"/>
        </w:rPr>
        <w:t xml:space="preserve">Kính thưa quý vị.</w:t>
      </w:r>
    </w:p>
    <w:p>
      <w:pPr>
        <w:spacing w:after="160" w:before="0" w:line="380"/>
      </w:pPr>
      <w:r>
        <w:rPr>
          <w:rFonts w:ascii="Arial" w:cs="Arial" w:eastAsia="Arial" w:hAnsi="Arial"/>
          <w:color w:val="1B2A3D"/>
          <w:sz w:val="26"/>
          <w:szCs w:val="26"/>
        </w:rPr>
        <w:t xml:space="preserve">Bài trình bày: </w:t>
      </w:r>
      <w:r>
        <w:rPr>
          <w:rFonts w:ascii="Arial" w:cs="Arial" w:eastAsia="Arial" w:hAnsi="Arial"/>
          <w:b/>
          <w:bCs/>
          <w:color w:val="1B2A3D"/>
          <w:sz w:val="26"/>
          <w:szCs w:val="26"/>
        </w:rPr>
        <w:t xml:space="preserve">Chống tham nhũng trong kỷ nguyên số — phản bác luận điệu xuyên tạc và củng cố nền tảng tư tưởng của Đảng</w:t>
      </w:r>
      <w:r>
        <w:rPr>
          <w:rFonts w:ascii="Arial" w:cs="Arial" w:eastAsia="Arial" w:hAnsi="Arial"/>
          <w:color w:val="1B2A3D"/>
          <w:sz w:val="26"/>
          <w:szCs w:val="26"/>
        </w:rPr>
        <w:t xml:space="preserve">. Tác giả: Tiến sĩ Phan Anh Tú, Trường Kinh tế, Đại học Cần Thơ.</w:t>
      </w:r>
    </w:p>
    <w:p>
      <w:pPr>
        <w:spacing w:after="160" w:before="0" w:line="380"/>
      </w:pPr>
      <w:r>
        <w:rPr>
          <w:rFonts w:ascii="Arial" w:cs="Arial" w:eastAsia="Arial" w:hAnsi="Arial"/>
          <w:color w:val="1B2A3D"/>
          <w:sz w:val="26"/>
          <w:szCs w:val="26"/>
        </w:rPr>
        <w:t xml:space="preserve">Toàn bộ nội dung sau đây xoay quanh một luận điểm duy nhất: </w:t>
      </w:r>
      <w:r>
        <w:rPr>
          <w:rFonts w:ascii="Arial" w:cs="Arial" w:eastAsia="Arial" w:hAnsi="Arial"/>
          <w:b/>
          <w:bCs/>
          <w:color w:val="1B2A3D"/>
          <w:sz w:val="26"/>
          <w:szCs w:val="26"/>
        </w:rPr>
        <w:t xml:space="preserve">khi quyền lực để lại dấu vết, cái sai sẽ khó nảy mầm, khó che giấu và khó tái diễn</w:t>
      </w:r>
      <w:r>
        <w:rPr>
          <w:rFonts w:ascii="Arial" w:cs="Arial" w:eastAsia="Arial" w:hAnsi="Arial"/>
          <w:color w:val="1B2A3D"/>
          <w:sz w:val="26"/>
          <w:szCs w:val="26"/>
        </w:rPr>
        <w:t xml:space="preserve">.</w:t>
      </w:r>
    </w:p>
    <w:p>
      <w:pPr>
        <w:shd w:fill="12355B" w:val="clear"/>
        <w:spacing w:after="0" w:before="360"/>
      </w:pPr>
      <w:r>
        <w:rPr>
          <w:rFonts w:ascii="Arial" w:cs="Arial" w:eastAsia="Arial" w:hAnsi="Arial"/>
          <w:b/>
          <w:bCs/>
          <w:color w:val="FFFFFF"/>
          <w:sz w:val="24"/>
          <w:szCs w:val="24"/>
        </w:rPr>
        <w:t xml:space="preserve">  SLIDE 2  —  VẤN ĐỀ</w:t>
      </w:r>
    </w:p>
    <w:p>
      <w:pPr>
        <w:shd w:fill="E7EDF5" w:val="clear"/>
        <w:spacing w:after="140" w:before="0"/>
      </w:pPr>
      <w:r>
        <w:rPr>
          <w:rFonts w:ascii="Arial" w:cs="Arial" w:eastAsia="Arial" w:hAnsi="Arial"/>
          <w:b/>
          <w:bCs/>
          <w:color w:val="12355B"/>
          <w:sz w:val="19"/>
          <w:szCs w:val="19"/>
        </w:rPr>
        <w:t xml:space="preserve">  00:28 – 02:08   |   Thời lượng 01:40   |   276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Nhịp đều, khách quan. Nhấn mạnh cụm “không xóa bỏ — dịch chuyển”. Câu cảnh báo cuối: hạ giọng, chắc.</w:t>
      </w:r>
    </w:p>
    <w:p>
      <w:pPr>
        <w:spacing w:after="160" w:before="0" w:line="380"/>
      </w:pPr>
      <w:r>
        <w:rPr>
          <w:rFonts w:ascii="Arial" w:cs="Arial" w:eastAsia="Arial" w:hAnsi="Arial"/>
          <w:color w:val="1B2A3D"/>
          <w:sz w:val="26"/>
          <w:szCs w:val="26"/>
        </w:rPr>
        <w:t xml:space="preserve">Trước hết, hãy nhìn thẳng vào bản chất của vấn đề.</w:t>
      </w:r>
    </w:p>
    <w:p>
      <w:pPr>
        <w:spacing w:after="160" w:before="0" w:line="380"/>
      </w:pPr>
      <w:r>
        <w:rPr>
          <w:rFonts w:ascii="Arial" w:cs="Arial" w:eastAsia="Arial" w:hAnsi="Arial"/>
          <w:color w:val="1B2A3D"/>
          <w:sz w:val="26"/>
          <w:szCs w:val="26"/>
        </w:rPr>
        <w:t xml:space="preserve">Trong hình thái truyền thống, tham nhũng vận hành qua phong bì, qua tiếp xúc trực tiếp, qua con dấu và qua những thủ tục hành chính phức tạp.</w:t>
      </w:r>
    </w:p>
    <w:p>
      <w:pPr>
        <w:spacing w:after="160" w:before="0" w:line="380"/>
      </w:pPr>
      <w:r>
        <w:rPr>
          <w:rFonts w:ascii="Arial" w:cs="Arial" w:eastAsia="Arial" w:hAnsi="Arial"/>
          <w:color w:val="1B2A3D"/>
          <w:sz w:val="26"/>
          <w:szCs w:val="26"/>
        </w:rPr>
        <w:t xml:space="preserve">Chuyển đổi số đang làm thay đổi địa hình đó. Cơ sở dữ liệu quốc gia, dịch vụ công trực tuyến, Đề án 06 về dữ liệu dân cư và định danh điện tử, đấu thầu điện tử — tất cả đang tái cấu trúc cách quyền lực được thực thi.</w:t>
      </w:r>
    </w:p>
    <w:p>
      <w:pPr>
        <w:spacing w:after="160" w:before="0" w:line="380"/>
      </w:pPr>
      <w:r>
        <w:rPr>
          <w:rFonts w:ascii="Arial" w:cs="Arial" w:eastAsia="Arial" w:hAnsi="Arial"/>
          <w:color w:val="1B2A3D"/>
          <w:sz w:val="26"/>
          <w:szCs w:val="26"/>
        </w:rPr>
        <w:t xml:space="preserve">Nhưng xin lưu ý: </w:t>
      </w:r>
      <w:r>
        <w:rPr>
          <w:rFonts w:ascii="Arial" w:cs="Arial" w:eastAsia="Arial" w:hAnsi="Arial"/>
          <w:b/>
          <w:bCs/>
          <w:color w:val="1B2A3D"/>
          <w:sz w:val="26"/>
          <w:szCs w:val="26"/>
        </w:rPr>
        <w:t xml:space="preserve">số hóa không xóa bỏ tham nhũng. Nó dịch chuyển tham nhũng sang một địa hình mới</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Trong kỷ nguyên số, tham nhũng xuất hiện dưới những hình thái khác: tham nhũng dữ liệu, tham nhũng thuật toán, tham nhũng nền tảng, và tham nhũng tuân thủ hình thức. Quyền lực không còn nằm ở con dấu hay hồ sơ giấy, mà chuyển sang </w:t>
      </w:r>
      <w:r>
        <w:rPr>
          <w:rFonts w:ascii="Arial" w:cs="Arial" w:eastAsia="Arial" w:hAnsi="Arial"/>
          <w:b/>
          <w:bCs/>
          <w:color w:val="1B2A3D"/>
          <w:sz w:val="26"/>
          <w:szCs w:val="26"/>
        </w:rPr>
        <w:t xml:space="preserve">quyền truy cập</w:t>
      </w:r>
      <w:r>
        <w:rPr>
          <w:rFonts w:ascii="Arial" w:cs="Arial" w:eastAsia="Arial" w:hAnsi="Arial"/>
          <w:color w:val="1B2A3D"/>
          <w:sz w:val="26"/>
          <w:szCs w:val="26"/>
        </w:rPr>
        <w:t xml:space="preserve">, quyền sửa dữ liệu, quyền thiết kế thuật toán và quyền vận hành nền tảng.</w:t>
      </w:r>
    </w:p>
    <w:p>
      <w:pPr>
        <w:spacing w:after="160" w:before="0" w:line="380"/>
      </w:pPr>
      <w:r>
        <w:rPr>
          <w:rFonts w:ascii="Arial" w:cs="Arial" w:eastAsia="Arial" w:hAnsi="Arial"/>
          <w:color w:val="1B2A3D"/>
          <w:sz w:val="26"/>
          <w:szCs w:val="26"/>
        </w:rPr>
        <w:t xml:space="preserve">Từ đó đặt ra một yêu cầu quản trị mới: kiểm soát quyền lực phải đồng thời bằng thể chế, bằng công nghệ và bằng tư tưởng.</w:t>
      </w:r>
    </w:p>
    <w:p>
      <w:pPr>
        <w:spacing w:after="160" w:before="0" w:line="380"/>
      </w:pPr>
      <w:r>
        <w:rPr>
          <w:rFonts w:ascii="Arial" w:cs="Arial" w:eastAsia="Arial" w:hAnsi="Arial"/>
          <w:color w:val="1B2A3D"/>
          <w:sz w:val="26"/>
          <w:szCs w:val="26"/>
        </w:rPr>
        <w:t xml:space="preserve">Bài viết cảnh báo thẳng thắn: số hóa mà thiếu kiểm toán số, thiếu nhật ký truy cập bất biến, thiếu phân quyền rõ ràng và thiếu giám sát độc lập, thì rất dễ tạo ra </w:t>
      </w:r>
      <w:r>
        <w:rPr>
          <w:rFonts w:ascii="Arial" w:cs="Arial" w:eastAsia="Arial" w:hAnsi="Arial"/>
          <w:b/>
          <w:bCs/>
          <w:color w:val="1B2A3D"/>
          <w:sz w:val="26"/>
          <w:szCs w:val="26"/>
        </w:rPr>
        <w:t xml:space="preserve">cửa sau tinh vi hơn cả cửa trước</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Đây chính là trục lập luận trung tâm: chuyển đổi số không đơn thuần là thay đổi công cụ hành chính, mà là tái cấu trúc quyền lực.</w:t>
      </w:r>
    </w:p>
    <w:p>
      <w:pPr>
        <w:shd w:fill="12355B" w:val="clear"/>
        <w:spacing w:after="0" w:before="360"/>
      </w:pPr>
      <w:r>
        <w:rPr>
          <w:rFonts w:ascii="Arial" w:cs="Arial" w:eastAsia="Arial" w:hAnsi="Arial"/>
          <w:b/>
          <w:bCs/>
          <w:color w:val="FFFFFF"/>
          <w:sz w:val="24"/>
          <w:szCs w:val="24"/>
        </w:rPr>
        <w:t xml:space="preserve">  SLIDE 3  —  KHUNG KHÁI NIỆM</w:t>
      </w:r>
    </w:p>
    <w:p>
      <w:pPr>
        <w:shd w:fill="E7EDF5" w:val="clear"/>
        <w:spacing w:after="140" w:before="0"/>
      </w:pPr>
      <w:r>
        <w:rPr>
          <w:rFonts w:ascii="Arial" w:cs="Arial" w:eastAsia="Arial" w:hAnsi="Arial"/>
          <w:b/>
          <w:bCs/>
          <w:color w:val="12355B"/>
          <w:sz w:val="19"/>
          <w:szCs w:val="19"/>
        </w:rPr>
        <w:t xml:space="preserve">  02:08 – 04:17   |   Thời lượng 02:09   |   355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Giọng giảng giải, mạch lạc. Ngắt 0,8 giây sau mỗi “Thứ nhất / Thứ hai / Thứ ba / Thứ tư”.</w:t>
      </w:r>
    </w:p>
    <w:p>
      <w:pPr>
        <w:spacing w:after="160" w:before="0" w:line="380"/>
      </w:pPr>
      <w:r>
        <w:rPr>
          <w:rFonts w:ascii="Arial" w:cs="Arial" w:eastAsia="Arial" w:hAnsi="Arial"/>
          <w:color w:val="1B2A3D"/>
          <w:sz w:val="26"/>
          <w:szCs w:val="26"/>
        </w:rPr>
        <w:t xml:space="preserve">Vậy tham nhũng được định nghĩa như thế nào? Bài viết đối chiếu bốn nguồn chuẩn.</w:t>
      </w:r>
    </w:p>
    <w:p>
      <w:pPr>
        <w:spacing w:after="160" w:before="0" w:line="380"/>
      </w:pPr>
      <w:r>
        <w:rPr>
          <w:rFonts w:ascii="Arial" w:cs="Arial" w:eastAsia="Arial" w:hAnsi="Arial"/>
          <w:b/>
          <w:bCs/>
          <w:color w:val="1B2A3D"/>
          <w:sz w:val="26"/>
          <w:szCs w:val="26"/>
        </w:rPr>
        <w:t xml:space="preserve">Thứ nhất</w:t>
      </w:r>
      <w:r>
        <w:rPr>
          <w:rFonts w:ascii="Arial" w:cs="Arial" w:eastAsia="Arial" w:hAnsi="Arial"/>
          <w:color w:val="1B2A3D"/>
          <w:sz w:val="26"/>
          <w:szCs w:val="26"/>
        </w:rPr>
        <w:t xml:space="preserve">, Tổ chức Minh bạch Quốc tế định nghĩa tham nhũng là sự lạm dụng quyền lực được trao phó vì lợi ích tư. Cách tiếp cận này bao quát, không giới hạn tham nhũng trong khu vực công.</w:t>
      </w:r>
    </w:p>
    <w:p>
      <w:pPr>
        <w:spacing w:after="160" w:before="0" w:line="380"/>
      </w:pPr>
      <w:r>
        <w:rPr>
          <w:rFonts w:ascii="Arial" w:cs="Arial" w:eastAsia="Arial" w:hAnsi="Arial"/>
          <w:b/>
          <w:bCs/>
          <w:color w:val="1B2A3D"/>
          <w:sz w:val="26"/>
          <w:szCs w:val="26"/>
        </w:rPr>
        <w:t xml:space="preserve">Thứ hai</w:t>
      </w:r>
      <w:r>
        <w:rPr>
          <w:rFonts w:ascii="Arial" w:cs="Arial" w:eastAsia="Arial" w:hAnsi="Arial"/>
          <w:color w:val="1B2A3D"/>
          <w:sz w:val="26"/>
          <w:szCs w:val="26"/>
        </w:rPr>
        <w:t xml:space="preserve">, Ngân hàng Thế giới, năm 2020, xem tham nhũng là sự lạm dụng chức vụ công vì lợi ích tư. Đây là lăng kính quản trị công, đặc biệt hữu ích khi phân tích tài chính công, đầu tư công và mua sắm công.</w:t>
      </w:r>
    </w:p>
    <w:p>
      <w:pPr>
        <w:spacing w:after="160" w:before="0" w:line="380"/>
      </w:pPr>
      <w:r>
        <w:rPr>
          <w:rFonts w:ascii="Arial" w:cs="Arial" w:eastAsia="Arial" w:hAnsi="Arial"/>
          <w:b/>
          <w:bCs/>
          <w:color w:val="1B2A3D"/>
          <w:sz w:val="26"/>
          <w:szCs w:val="26"/>
        </w:rPr>
        <w:t xml:space="preserve">Thứ ba</w:t>
      </w:r>
      <w:r>
        <w:rPr>
          <w:rFonts w:ascii="Arial" w:cs="Arial" w:eastAsia="Arial" w:hAnsi="Arial"/>
          <w:color w:val="1B2A3D"/>
          <w:sz w:val="26"/>
          <w:szCs w:val="26"/>
        </w:rPr>
        <w:t xml:space="preserve">, Công ước Liên hợp quốc về chống tham nhũng. Công ước không xem tham nhũng là một hành vi đơn lẻ, mà là một nhóm hành vi và cơ chế, bao quát năm lĩnh vực: phòng ngừa; hình sự hóa và thực thi pháp luật; hợp tác quốc tế; thu hồi tài sản; và hỗ trợ kỹ thuật. Điều đó có nghĩa: chống tham nhũng không chỉ là xử lý người vi phạm, mà còn là </w:t>
      </w:r>
      <w:r>
        <w:rPr>
          <w:rFonts w:ascii="Arial" w:cs="Arial" w:eastAsia="Arial" w:hAnsi="Arial"/>
          <w:b/>
          <w:bCs/>
          <w:color w:val="1B2A3D"/>
          <w:sz w:val="26"/>
          <w:szCs w:val="26"/>
        </w:rPr>
        <w:t xml:space="preserve">thiết kế lại hệ thống</w:t>
      </w:r>
      <w:r>
        <w:rPr>
          <w:rFonts w:ascii="Arial" w:cs="Arial" w:eastAsia="Arial" w:hAnsi="Arial"/>
          <w:color w:val="1B2A3D"/>
          <w:sz w:val="26"/>
          <w:szCs w:val="26"/>
        </w:rPr>
        <w:t xml:space="preserve">.</w:t>
      </w:r>
    </w:p>
    <w:p>
      <w:pPr>
        <w:spacing w:after="160" w:before="0" w:line="380"/>
      </w:pPr>
      <w:r>
        <w:rPr>
          <w:rFonts w:ascii="Arial" w:cs="Arial" w:eastAsia="Arial" w:hAnsi="Arial"/>
          <w:b/>
          <w:bCs/>
          <w:color w:val="1B2A3D"/>
          <w:sz w:val="26"/>
          <w:szCs w:val="26"/>
        </w:rPr>
        <w:t xml:space="preserve">Thứ tư</w:t>
      </w:r>
      <w:r>
        <w:rPr>
          <w:rFonts w:ascii="Arial" w:cs="Arial" w:eastAsia="Arial" w:hAnsi="Arial"/>
          <w:color w:val="1B2A3D"/>
          <w:sz w:val="26"/>
          <w:szCs w:val="26"/>
        </w:rPr>
        <w:t xml:space="preserve">, Luật Phòng, chống tham nhũng năm 2018 của Việt Nam xác định: tham nhũng là hành vi của người có chức vụ, quyền hạn đã lợi dụng chức vụ, quyền hạn đó vì vụ lợi. Điểm tiến bộ của Luật là mở rộng một số yêu cầu phòng, chống tham nhũng sang khu vực ngoài nhà nước.</w:t>
      </w:r>
    </w:p>
    <w:p>
      <w:pPr>
        <w:spacing w:after="160" w:before="0" w:line="380"/>
      </w:pPr>
      <w:r>
        <w:rPr>
          <w:rFonts w:ascii="Arial" w:cs="Arial" w:eastAsia="Arial" w:hAnsi="Arial"/>
          <w:color w:val="1B2A3D"/>
          <w:sz w:val="26"/>
          <w:szCs w:val="26"/>
        </w:rPr>
        <w:t xml:space="preserve">Từ bốn nguồn ấy, bài viết đề xuất một khái niệm làm việc: tham nhũng là hành vi lạm dụng quyền lực, chức vụ, vị trí được trao hoặc nguồn lực được kiểm soát, nhằm đạt lợi ích riêng, lợi ích nhóm hoặc lợi ích bất chính cho bên thứ ba; qua đó </w:t>
      </w:r>
      <w:r>
        <w:rPr>
          <w:rFonts w:ascii="Arial" w:cs="Arial" w:eastAsia="Arial" w:hAnsi="Arial"/>
          <w:b/>
          <w:bCs/>
          <w:color w:val="1B2A3D"/>
          <w:sz w:val="26"/>
          <w:szCs w:val="26"/>
        </w:rPr>
        <w:t xml:space="preserve">làm sai lệch tính liêm chính của quyết định công, quyết định tổ chức và giao dịch thị trường</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Và trong kỷ nguyên số, tham nhũng còn có thể vận hành thông qua dữ liệu, thuật toán, nền tảng số, hệ thống định danh, mua sắm điện tử, tài sản số và cấu trúc sở hữu ẩn danh.</w:t>
      </w:r>
    </w:p>
    <w:p>
      <w:pPr>
        <w:shd w:fill="12355B" w:val="clear"/>
        <w:spacing w:after="0" w:before="360"/>
      </w:pPr>
      <w:r>
        <w:rPr>
          <w:rFonts w:ascii="Arial" w:cs="Arial" w:eastAsia="Arial" w:hAnsi="Arial"/>
          <w:b/>
          <w:bCs/>
          <w:color w:val="FFFFFF"/>
          <w:sz w:val="24"/>
          <w:szCs w:val="24"/>
        </w:rPr>
        <w:t xml:space="preserve">  SLIDE 4  —  PHÂN LOẠI</w:t>
      </w:r>
    </w:p>
    <w:p>
      <w:pPr>
        <w:shd w:fill="E7EDF5" w:val="clear"/>
        <w:spacing w:after="140" w:before="0"/>
      </w:pPr>
      <w:r>
        <w:rPr>
          <w:rFonts w:ascii="Arial" w:cs="Arial" w:eastAsia="Arial" w:hAnsi="Arial"/>
          <w:b/>
          <w:bCs/>
          <w:color w:val="12355B"/>
          <w:sz w:val="19"/>
          <w:szCs w:val="19"/>
        </w:rPr>
        <w:t xml:space="preserve">  04:17 – 06:25   |   Thời lượng 02:08   |   352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Liệt kê rõ ràng, không đọc dồn. Mỗi trục ngắt 0,8 giây trước khi sang trục tiếp theo.</w:t>
      </w:r>
    </w:p>
    <w:p>
      <w:pPr>
        <w:spacing w:after="160" w:before="0" w:line="380"/>
      </w:pPr>
      <w:r>
        <w:rPr>
          <w:rFonts w:ascii="Arial" w:cs="Arial" w:eastAsia="Arial" w:hAnsi="Arial"/>
          <w:color w:val="1B2A3D"/>
          <w:sz w:val="26"/>
          <w:szCs w:val="26"/>
        </w:rPr>
        <w:t xml:space="preserve">Tham nhũng không phải một khối đồng nhất. Bài viết phân loại nó theo bốn trục.</w:t>
      </w:r>
    </w:p>
    <w:p>
      <w:pPr>
        <w:spacing w:after="160" w:before="0" w:line="380"/>
      </w:pPr>
      <w:r>
        <w:rPr>
          <w:rFonts w:ascii="Arial" w:cs="Arial" w:eastAsia="Arial" w:hAnsi="Arial"/>
          <w:b/>
          <w:bCs/>
          <w:color w:val="1B2A3D"/>
          <w:sz w:val="26"/>
          <w:szCs w:val="26"/>
        </w:rPr>
        <w:t xml:space="preserve">Trục thứ nhất — quy mô và quyền lực</w:t>
      </w:r>
      <w:r>
        <w:rPr>
          <w:rFonts w:ascii="Arial" w:cs="Arial" w:eastAsia="Arial" w:hAnsi="Arial"/>
          <w:color w:val="1B2A3D"/>
          <w:sz w:val="26"/>
          <w:szCs w:val="26"/>
        </w:rPr>
        <w:t xml:space="preserve">. Tham nhũng vặt là các khoản chi phí không chính thức trong dịch vụ công hằng ngày; giá trị mỗi giao dịch nhỏ, nhưng tần suất lặp lại cao khiến nó xói mòn niềm tin xã hội rất mạnh. Tham nhũng lớn gắn với dự án lớn, tài sản lớn, quyền lực cấp cao. Tham nhũng chính trị xuất hiện khi quyền lực chính trị bị sử dụng để phục vụ lợi ích riêng hoặc lợi ích nhóm. Nguy hiểm hơn cả là tham nhũng hệ thống — khi tham nhũng không còn là lệch chuẩn cá biệt, mà trở thành quy tắc vận hành ngầm.</w:t>
      </w:r>
    </w:p>
    <w:p>
      <w:pPr>
        <w:spacing w:after="160" w:before="0" w:line="380"/>
      </w:pPr>
      <w:r>
        <w:rPr>
          <w:rFonts w:ascii="Arial" w:cs="Arial" w:eastAsia="Arial" w:hAnsi="Arial"/>
          <w:b/>
          <w:bCs/>
          <w:color w:val="1B2A3D"/>
          <w:sz w:val="26"/>
          <w:szCs w:val="26"/>
        </w:rPr>
        <w:t xml:space="preserve">Trục thứ hai — hành vi</w:t>
      </w:r>
      <w:r>
        <w:rPr>
          <w:rFonts w:ascii="Arial" w:cs="Arial" w:eastAsia="Arial" w:hAnsi="Arial"/>
          <w:color w:val="1B2A3D"/>
          <w:sz w:val="26"/>
          <w:szCs w:val="26"/>
        </w:rPr>
        <w:t xml:space="preserve">. Bao gồm: hối lộ; bôi trơn; tham ô; lạm quyền; xung đột lợi ích; thân hữu và gia đình trị; gian lận; tống tiền và vòi vĩnh.</w:t>
      </w:r>
    </w:p>
    <w:p>
      <w:pPr>
        <w:spacing w:after="160" w:before="0" w:line="380"/>
      </w:pPr>
      <w:r>
        <w:rPr>
          <w:rFonts w:ascii="Arial" w:cs="Arial" w:eastAsia="Arial" w:hAnsi="Arial"/>
          <w:b/>
          <w:bCs/>
          <w:color w:val="1B2A3D"/>
          <w:sz w:val="26"/>
          <w:szCs w:val="26"/>
        </w:rPr>
        <w:t xml:space="preserve">Trục thứ ba — khu vực và không gian</w:t>
      </w:r>
      <w:r>
        <w:rPr>
          <w:rFonts w:ascii="Arial" w:cs="Arial" w:eastAsia="Arial" w:hAnsi="Arial"/>
          <w:color w:val="1B2A3D"/>
          <w:sz w:val="26"/>
          <w:szCs w:val="26"/>
        </w:rPr>
        <w:t xml:space="preserve">. Tham nhũng không chỉ nằm trong khu vực công, mà còn xuất hiện trong khu vực tư và trong các quan hệ công – tư. Ở cấp độ xuyên quốc gia, nó vận hành qua rửa tiền, công ty vỏ bọc, sở hữu hưởng lợi ẩn danh và tài sản số.</w:t>
      </w:r>
    </w:p>
    <w:p>
      <w:pPr>
        <w:spacing w:after="160" w:before="0" w:line="380"/>
      </w:pPr>
      <w:r>
        <w:rPr>
          <w:rFonts w:ascii="Arial" w:cs="Arial" w:eastAsia="Arial" w:hAnsi="Arial"/>
          <w:b/>
          <w:bCs/>
          <w:color w:val="1B2A3D"/>
          <w:sz w:val="26"/>
          <w:szCs w:val="26"/>
        </w:rPr>
        <w:t xml:space="preserve">Trục thứ tư — công nghệ</w:t>
      </w:r>
      <w:r>
        <w:rPr>
          <w:rFonts w:ascii="Arial" w:cs="Arial" w:eastAsia="Arial" w:hAnsi="Arial"/>
          <w:color w:val="1B2A3D"/>
          <w:sz w:val="26"/>
          <w:szCs w:val="26"/>
        </w:rPr>
        <w:t xml:space="preserve">. Đây là phần bổ sung khái niệm của bài viết: tham nhũng dữ liệu, tham nhũng thuật toán, tham nhũng nền tảng, và tham nhũng tuân thủ hình thức. Bài viết còn nêu tham nhũng trong định danh số, trong đấu thầu điện tử và qua tài sản số.</w:t>
      </w:r>
    </w:p>
    <w:p>
      <w:pPr>
        <w:spacing w:after="160" w:before="0" w:line="380"/>
      </w:pPr>
      <w:r>
        <w:rPr>
          <w:rFonts w:ascii="Arial" w:cs="Arial" w:eastAsia="Arial" w:hAnsi="Arial"/>
          <w:color w:val="1B2A3D"/>
          <w:sz w:val="26"/>
          <w:szCs w:val="26"/>
        </w:rPr>
        <w:t xml:space="preserve">Điểm chung của các dạng này là: quyền lực đã chuyển từ con dấu sang quyền truy cập, quyền sửa dữ liệu, quyền thiết kế thuật toán, quyền vận hành nền tảng và quyền kiểm soát luồng thông tin.</w:t>
      </w:r>
    </w:p>
    <w:p>
      <w:pPr>
        <w:spacing w:after="160" w:before="0" w:line="380"/>
      </w:pPr>
      <w:r>
        <w:rPr>
          <w:rFonts w:ascii="Arial" w:cs="Arial" w:eastAsia="Arial" w:hAnsi="Arial"/>
          <w:color w:val="1B2A3D"/>
          <w:sz w:val="26"/>
          <w:szCs w:val="26"/>
        </w:rPr>
        <w:t xml:space="preserve">Cách phân loại này giúp tránh hai sai lầm thường gặp: </w:t>
      </w:r>
      <w:r>
        <w:rPr>
          <w:rFonts w:ascii="Arial" w:cs="Arial" w:eastAsia="Arial" w:hAnsi="Arial"/>
          <w:b/>
          <w:bCs/>
          <w:color w:val="1B2A3D"/>
          <w:sz w:val="26"/>
          <w:szCs w:val="26"/>
        </w:rPr>
        <w:t xml:space="preserve">một</w:t>
      </w:r>
      <w:r>
        <w:rPr>
          <w:rFonts w:ascii="Arial" w:cs="Arial" w:eastAsia="Arial" w:hAnsi="Arial"/>
          <w:color w:val="1B2A3D"/>
          <w:sz w:val="26"/>
          <w:szCs w:val="26"/>
        </w:rPr>
        <w:t xml:space="preserve"> là xem tham nhũng như một khối đồng nhất; </w:t>
      </w:r>
      <w:r>
        <w:rPr>
          <w:rFonts w:ascii="Arial" w:cs="Arial" w:eastAsia="Arial" w:hAnsi="Arial"/>
          <w:b/>
          <w:bCs/>
          <w:color w:val="1B2A3D"/>
          <w:sz w:val="26"/>
          <w:szCs w:val="26"/>
        </w:rPr>
        <w:t xml:space="preserve">hai</w:t>
      </w:r>
      <w:r>
        <w:rPr>
          <w:rFonts w:ascii="Arial" w:cs="Arial" w:eastAsia="Arial" w:hAnsi="Arial"/>
          <w:color w:val="1B2A3D"/>
          <w:sz w:val="26"/>
          <w:szCs w:val="26"/>
        </w:rPr>
        <w:t xml:space="preserve"> là chỉ nhận diện tham nhũng qua hình ảnh chiếc phong bì.</w:t>
      </w:r>
    </w:p>
    <w:p>
      <w:pPr>
        <w:shd w:fill="12355B" w:val="clear"/>
        <w:spacing w:after="0" w:before="360"/>
      </w:pPr>
      <w:r>
        <w:rPr>
          <w:rFonts w:ascii="Arial" w:cs="Arial" w:eastAsia="Arial" w:hAnsi="Arial"/>
          <w:b/>
          <w:bCs/>
          <w:color w:val="FFFFFF"/>
          <w:sz w:val="24"/>
          <w:szCs w:val="24"/>
        </w:rPr>
        <w:t xml:space="preserve">  SLIDE 5  —  PHẢN BÁC BỐN LUẬN ĐIỆU</w:t>
      </w:r>
    </w:p>
    <w:p>
      <w:pPr>
        <w:shd w:fill="E7EDF5" w:val="clear"/>
        <w:spacing w:after="140" w:before="0"/>
      </w:pPr>
      <w:r>
        <w:rPr>
          <w:rFonts w:ascii="Arial" w:cs="Arial" w:eastAsia="Arial" w:hAnsi="Arial"/>
          <w:b/>
          <w:bCs/>
          <w:color w:val="12355B"/>
          <w:sz w:val="19"/>
          <w:szCs w:val="19"/>
        </w:rPr>
        <w:t xml:space="preserve">  06:25 – 09:20   |   Thời lượng 02:55   |   480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Đây là đoạn tranh luận — giọng chắc, dứt khoát. Đọc tên luận điệu với giọng trung tính; đọc phản chứng với giọng khẳng định.</w:t>
      </w:r>
    </w:p>
    <w:p>
      <w:pPr>
        <w:spacing w:after="160" w:before="0" w:line="380"/>
      </w:pPr>
      <w:r>
        <w:rPr>
          <w:rFonts w:ascii="Arial" w:cs="Arial" w:eastAsia="Arial" w:hAnsi="Arial"/>
          <w:color w:val="1B2A3D"/>
          <w:sz w:val="26"/>
          <w:szCs w:val="26"/>
        </w:rPr>
        <w:t xml:space="preserve">Trên nền khái niệm đó, bài viết nhận diện và phản bác bốn luận điệu sai trái.</w:t>
      </w:r>
    </w:p>
    <w:p>
      <w:pPr>
        <w:spacing w:after="160" w:before="0" w:line="380"/>
      </w:pPr>
      <w:r>
        <w:rPr>
          <w:rFonts w:ascii="Arial" w:cs="Arial" w:eastAsia="Arial" w:hAnsi="Arial"/>
          <w:b/>
          <w:bCs/>
          <w:color w:val="1B2A3D"/>
          <w:sz w:val="26"/>
          <w:szCs w:val="26"/>
        </w:rPr>
        <w:t xml:space="preserve">Luận điệu thứ nhất: tham nhũng là bản chất của chế độ một đảng.</w:t>
      </w:r>
      <w:r>
        <w:rPr>
          <w:rFonts w:ascii="Arial" w:cs="Arial" w:eastAsia="Arial" w:hAnsi="Arial"/>
          <w:color w:val="1B2A3D"/>
          <w:sz w:val="26"/>
          <w:szCs w:val="26"/>
        </w:rPr>
        <w:t xml:space="preserve"> Đây là thủ pháp ngụy biện đánh tráo khái niệm — đồng nhất hiện tượng tiêu cực của một bộ phận cán bộ thoái hóa với bản chất của cả thể chế chính trị. Thực tế, tham nhũng tồn tại ở mọi thể chế và mọi quốc gia. Yếu tố quyết định mức độ tham nhũng không phải là số lượng đảng phái, mà là chất lượng thể chế, tính minh bạch, hiệu lực thực thi pháp luật và khả năng kiểm soát quyền lực. Nghiên cứu cấp doanh nghiệp của Maruichi và Abe, năm 2019, cho thấy hối lộ tại Việt Nam phát sinh chủ yếu từ môi trường thể chế địa phương còn yếu, thủ tục phức tạp và chất lượng dịch vụ công chưa cao — chứ không phải từ bản chất mô hình chính trị.</w:t>
      </w:r>
    </w:p>
    <w:p>
      <w:pPr>
        <w:spacing w:after="160" w:before="0" w:line="380"/>
      </w:pPr>
      <w:r>
        <w:rPr>
          <w:rFonts w:ascii="Arial" w:cs="Arial" w:eastAsia="Arial" w:hAnsi="Arial"/>
          <w:b/>
          <w:bCs/>
          <w:color w:val="1B2A3D"/>
          <w:sz w:val="26"/>
          <w:szCs w:val="26"/>
        </w:rPr>
        <w:t xml:space="preserve">Luận điệu thứ hai: chống tham nhũng chỉ là đấu đá nội bộ, thanh trừng phe cánh.</w:t>
      </w:r>
      <w:r>
        <w:rPr>
          <w:rFonts w:ascii="Arial" w:cs="Arial" w:eastAsia="Arial" w:hAnsi="Arial"/>
          <w:color w:val="1B2A3D"/>
          <w:sz w:val="26"/>
          <w:szCs w:val="26"/>
        </w:rPr>
        <w:t xml:space="preserve"> Phản chứng nằm ở logic quản trị: một chiến dịch mang tính phe phái không thể đồng thời đi kèm với việc hoàn thiện thể chế, mở rộng phạm vi điều chỉnh sang khu vực ngoài nhà nước, tăng cường kê khai tài sản, đẩy mạnh chuyển đổi số và minh bạch hóa dịch vụ công. Phe phái không tạo ra được một hệ thống pháp lý, dữ liệu và cơ chế giám sát ngày càng đầy đủ như hiện nay.</w:t>
      </w:r>
    </w:p>
    <w:p>
      <w:pPr>
        <w:spacing w:after="160" w:before="0" w:line="380"/>
      </w:pPr>
      <w:r>
        <w:rPr>
          <w:rFonts w:ascii="Arial" w:cs="Arial" w:eastAsia="Arial" w:hAnsi="Arial"/>
          <w:b/>
          <w:bCs/>
          <w:color w:val="1B2A3D"/>
          <w:sz w:val="26"/>
          <w:szCs w:val="26"/>
        </w:rPr>
        <w:t xml:space="preserve">Luận điệu thứ ba: càng chống càng tham nhũng, Đảng bất lực.</w:t>
      </w:r>
      <w:r>
        <w:rPr>
          <w:rFonts w:ascii="Arial" w:cs="Arial" w:eastAsia="Arial" w:hAnsi="Arial"/>
          <w:color w:val="1B2A3D"/>
          <w:sz w:val="26"/>
          <w:szCs w:val="26"/>
        </w:rPr>
        <w:t xml:space="preserve"> Đây là thủ pháp suy diễn ngược — lấy việc phát hiện nhiều vụ án làm bằng chứng cho sự bất lực. Thực chất, trong quản trị hiện đại, số vụ bị phát hiện tăng lên phản ánh năng lực phát hiện, điều tra, xử lý và minh bạch thông tin được nâng cao. Khi dữ liệu, thanh tra, kiểm toán và cơ chế tố tụng hoạt động mạnh hơn, phần chìm của tảng băng mới lộ ra nhiều hơn.</w:t>
      </w:r>
    </w:p>
    <w:p>
      <w:pPr>
        <w:spacing w:after="160" w:before="0" w:line="380"/>
      </w:pPr>
      <w:r>
        <w:rPr>
          <w:rFonts w:ascii="Arial" w:cs="Arial" w:eastAsia="Arial" w:hAnsi="Arial"/>
          <w:b/>
          <w:bCs/>
          <w:color w:val="1B2A3D"/>
          <w:sz w:val="26"/>
          <w:szCs w:val="26"/>
        </w:rPr>
        <w:t xml:space="preserve">Luận điệu thứ tư: phải tam quyền phân lập kiểu phương Tây mới kiểm soát được quyền lực.</w:t>
      </w:r>
      <w:r>
        <w:rPr>
          <w:rFonts w:ascii="Arial" w:cs="Arial" w:eastAsia="Arial" w:hAnsi="Arial"/>
          <w:color w:val="1B2A3D"/>
          <w:sz w:val="26"/>
          <w:szCs w:val="26"/>
        </w:rPr>
        <w:t xml:space="preserve"> Thực tế quốc tế cho thấy không có một mô hình thể chế duy nhất nào tự động bảo đảm sạch tham nhũng. Ngay tại những quốc gia tam quyền phân lập, tham nhũng vẫn có thể dai dẳng nếu kiểm soát tài chính chính trị, vận động hành lang, mua sắm công và thực thi pháp luật còn yếu. Bài học Singapore không nằm ở việc sao chép mô hình chính trị, mà ở ý chí chính trị, hệ thống pháp luật chặt chẽ, cơ quan chuyên trách hiệu quả, chế độ công vụ liêm chính và văn hóa liêm chính.</w:t>
      </w:r>
    </w:p>
    <w:p>
      <w:pPr>
        <w:shd w:fill="12355B" w:val="clear"/>
        <w:spacing w:after="0" w:before="360"/>
      </w:pPr>
      <w:r>
        <w:rPr>
          <w:rFonts w:ascii="Arial" w:cs="Arial" w:eastAsia="Arial" w:hAnsi="Arial"/>
          <w:b/>
          <w:bCs/>
          <w:color w:val="FFFFFF"/>
          <w:sz w:val="24"/>
          <w:szCs w:val="24"/>
        </w:rPr>
        <w:t xml:space="preserve">  SLIDE 6  —  BẰNG CHỨNG</w:t>
      </w:r>
    </w:p>
    <w:p>
      <w:pPr>
        <w:shd w:fill="E7EDF5" w:val="clear"/>
        <w:spacing w:after="140" w:before="0"/>
      </w:pPr>
      <w:r>
        <w:rPr>
          <w:rFonts w:ascii="Arial" w:cs="Arial" w:eastAsia="Arial" w:hAnsi="Arial"/>
          <w:b/>
          <w:bCs/>
          <w:color w:val="12355B"/>
          <w:sz w:val="19"/>
          <w:szCs w:val="19"/>
        </w:rPr>
        <w:t xml:space="preserve">  09:20 – 11:54   |   Thời lượng 02:34   |   424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Đoạn số liệu — đọc chậm và tách bạch từng con số. Ngắt 0,5 giây trước mỗi con số lớn.</w:t>
      </w:r>
    </w:p>
    <w:p>
      <w:pPr>
        <w:spacing w:after="160" w:before="0" w:line="380"/>
      </w:pPr>
      <w:r>
        <w:rPr>
          <w:rFonts w:ascii="Arial" w:cs="Arial" w:eastAsia="Arial" w:hAnsi="Arial"/>
          <w:color w:val="1B2A3D"/>
          <w:sz w:val="26"/>
          <w:szCs w:val="26"/>
        </w:rPr>
        <w:t xml:space="preserve">Bài viết phản bác không bằng lý luận suông, mà bằng ba lớp bằng chứng.</w:t>
      </w:r>
    </w:p>
    <w:p>
      <w:pPr>
        <w:spacing w:after="160" w:before="0" w:line="380"/>
      </w:pPr>
      <w:r>
        <w:rPr>
          <w:rFonts w:ascii="Arial" w:cs="Arial" w:eastAsia="Arial" w:hAnsi="Arial"/>
          <w:b/>
          <w:bCs/>
          <w:color w:val="1B2A3D"/>
          <w:sz w:val="26"/>
          <w:szCs w:val="26"/>
        </w:rPr>
        <w:t xml:space="preserve">Lớp thứ nhất — tiến trình thể chế.</w:t>
      </w:r>
      <w:r>
        <w:rPr>
          <w:rFonts w:ascii="Arial" w:cs="Arial" w:eastAsia="Arial" w:hAnsi="Arial"/>
          <w:color w:val="1B2A3D"/>
          <w:sz w:val="26"/>
          <w:szCs w:val="26"/>
        </w:rPr>
        <w:t xml:space="preserve"> Năm 2013, Ban Chỉ đạo Trung ương về phòng, chống tham nhũng, tiêu cực được thành lập, trực tiếp do Tổng Bí thư làm Trưởng ban. Năm 2018, Luật Phòng, chống tham nhũng số 36 mở rộng phạm vi điều chỉnh sang khu vực ngoài nhà nước. Năm 2019, Nghị định 59 quy định chi tiết thi hành. Năm 2020, Nghị định 130 thiết lập cơ chế kiểm soát tài sản, thu nhập của người có chức vụ, quyền hạn. Năm 2022, Quyết định 06 phê duyệt Đề án 06 về dữ liệu dân cư, định danh và xác thực điện tử. Đây là một chuỗi liên tục, không phải một sự kiện chính trị ngẫu nhiên.</w:t>
      </w:r>
    </w:p>
    <w:p>
      <w:pPr>
        <w:spacing w:after="160" w:before="0" w:line="380"/>
      </w:pPr>
      <w:r>
        <w:rPr>
          <w:rFonts w:ascii="Arial" w:cs="Arial" w:eastAsia="Arial" w:hAnsi="Arial"/>
          <w:b/>
          <w:bCs/>
          <w:color w:val="1B2A3D"/>
          <w:sz w:val="26"/>
          <w:szCs w:val="26"/>
        </w:rPr>
        <w:t xml:space="preserve">Lớp thứ hai — số liệu xử lý.</w:t>
      </w:r>
      <w:r>
        <w:rPr>
          <w:rFonts w:ascii="Arial" w:cs="Arial" w:eastAsia="Arial" w:hAnsi="Arial"/>
          <w:color w:val="1B2A3D"/>
          <w:sz w:val="26"/>
          <w:szCs w:val="26"/>
        </w:rPr>
        <w:t xml:space="preserve"> Năm 2023, các cơ quan tố tụng đã khởi tố hơn 4.500 vụ, với hơn 9.370 bị can về các tội phạm tham nhũng, kinh tế, chức vụ; tăng 46 phần trăm về số vụ so với năm 2022, riêng án tham nhũng tăng gần hai lần. Năm 2024, lực lượng Bộ Công an đã thụ lý điều tra 6.777 vụ án, với 11.815 bị can; trong đó khởi tố mới 3.496 vụ, với 7.354 bị can.</w:t>
      </w:r>
    </w:p>
    <w:p>
      <w:pPr>
        <w:spacing w:after="160" w:before="0" w:line="380"/>
      </w:pPr>
      <w:r>
        <w:rPr>
          <w:rFonts w:ascii="Arial" w:cs="Arial" w:eastAsia="Arial" w:hAnsi="Arial"/>
          <w:color w:val="1B2A3D"/>
          <w:sz w:val="26"/>
          <w:szCs w:val="26"/>
        </w:rPr>
        <w:t xml:space="preserve">Các đại án Việt Á, AIC, FLC, Vạn Thịnh Phát, Thuận An, Phúc Sơn đã được điều tra, truy tố, xét xử công khai, nghiêm minh. Công tác thu hồi tài sản tham nhũng đạt kết quả tích cực.</w:t>
      </w:r>
    </w:p>
    <w:p>
      <w:pPr>
        <w:spacing w:after="160" w:before="0" w:line="380"/>
      </w:pPr>
      <w:r>
        <w:rPr>
          <w:rFonts w:ascii="Arial" w:cs="Arial" w:eastAsia="Arial" w:hAnsi="Arial"/>
          <w:b/>
          <w:bCs/>
          <w:color w:val="1B2A3D"/>
          <w:sz w:val="26"/>
          <w:szCs w:val="26"/>
        </w:rPr>
        <w:t xml:space="preserve">Lớp thứ ba — nghiên cứu thực nghiệm.</w:t>
      </w:r>
      <w:r>
        <w:rPr>
          <w:rFonts w:ascii="Arial" w:cs="Arial" w:eastAsia="Arial" w:hAnsi="Arial"/>
          <w:color w:val="1B2A3D"/>
          <w:sz w:val="26"/>
          <w:szCs w:val="26"/>
        </w:rPr>
        <w:t xml:space="preserve"> Hoàng và cộng sự, năm 2022, cho thấy chiến dịch chống tham nhũng quyết liệt làm giảm chi phí hối lộ phi chính thức, cải thiện minh bạch hóa môi trường kinh doanh và nâng cao hiệu quả đầu tư công. Nhưng — và đây là điểm trung thực của bài viết — quá trình này cũng có thể tạo ra bất định tạm thời, khiến một bộ phận doanh nghiệp trì hoãn đầu tư trong ngắn hạn. Do đó, chống tham nhũng phải đi cùng cải cách thủ tục và nâng cao khả năng dự báo của môi trường kinh doanh.</w:t>
      </w:r>
    </w:p>
    <w:p>
      <w:pPr>
        <w:spacing w:after="160" w:before="0" w:line="380"/>
      </w:pPr>
      <w:r>
        <w:rPr>
          <w:rFonts w:ascii="Arial" w:cs="Arial" w:eastAsia="Arial" w:hAnsi="Arial"/>
          <w:color w:val="1B2A3D"/>
          <w:sz w:val="26"/>
          <w:szCs w:val="26"/>
        </w:rPr>
        <w:t xml:space="preserve">Các nghiên cứu của De Jong, Tú và Van Ees, năm 2012, cùng Phan, Inouye và Hayashi, năm 2025, cho thấy hối lộ xói mòn văn hóa liêm chính, làm méo mó phân bổ nguồn lực, làm giảm động lực đổi mới sáng tạo và tạo bất định thể chế.</w:t>
      </w:r>
    </w:p>
    <w:p>
      <w:pPr>
        <w:shd w:fill="12355B" w:val="clear"/>
        <w:spacing w:after="0" w:before="360"/>
      </w:pPr>
      <w:r>
        <w:rPr>
          <w:rFonts w:ascii="Arial" w:cs="Arial" w:eastAsia="Arial" w:hAnsi="Arial"/>
          <w:b/>
          <w:bCs/>
          <w:color w:val="FFFFFF"/>
          <w:sz w:val="24"/>
          <w:szCs w:val="24"/>
        </w:rPr>
        <w:t xml:space="preserve">  SLIDE 7  —  “LỒNG CÔNG NGHỆ” (CỐT LÕI)</w:t>
      </w:r>
    </w:p>
    <w:p>
      <w:pPr>
        <w:shd w:fill="E7EDF5" w:val="clear"/>
        <w:spacing w:after="140" w:before="0"/>
      </w:pPr>
      <w:r>
        <w:rPr>
          <w:rFonts w:ascii="Arial" w:cs="Arial" w:eastAsia="Arial" w:hAnsi="Arial"/>
          <w:b/>
          <w:bCs/>
          <w:color w:val="12355B"/>
          <w:sz w:val="19"/>
          <w:szCs w:val="19"/>
        </w:rPr>
        <w:t xml:space="preserve">  11:54 – 14:48   |   Thời lượng 02:53   |   477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SLIDE TRỌNG TÂM. Đọc chậm nhất toàn bài. Ngắt 1 giây trước “Nhưng — và đây là điểm cần nói thẳng”. Đoạn tám mắt xích: đọc theo nhịp leo thang.</w:t>
      </w:r>
    </w:p>
    <w:p>
      <w:pPr>
        <w:spacing w:after="160" w:before="0" w:line="380"/>
      </w:pPr>
      <w:r>
        <w:rPr>
          <w:rFonts w:ascii="Arial" w:cs="Arial" w:eastAsia="Arial" w:hAnsi="Arial"/>
          <w:b w:val="false"/>
          <w:bCs w:val="false"/>
          <w:color w:val="1B2A3D"/>
          <w:sz w:val="26"/>
          <w:szCs w:val="26"/>
        </w:rPr>
        <w:t xml:space="preserve">Chúng ta đến với đóng góp cốt lõi của bài viết: khái niệm </w:t>
      </w:r>
      <w:r>
        <w:rPr>
          <w:rFonts w:ascii="Arial" w:cs="Arial" w:eastAsia="Arial" w:hAnsi="Arial"/>
          <w:b/>
          <w:bCs/>
          <w:color w:val="1B2A3D"/>
          <w:sz w:val="26"/>
          <w:szCs w:val="26"/>
        </w:rPr>
        <w:t xml:space="preserve">lồng công nghệ</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Nếu trước đây, nhốt quyền lực vào lồng cơ chế chủ yếu dựa vào hệ thống quy định, quy trình hành chính và kỷ luật công vụ, thì nay chuyển đổi số mở ra một chiều không gian mới: </w:t>
      </w:r>
      <w:r>
        <w:rPr>
          <w:rFonts w:ascii="Arial" w:cs="Arial" w:eastAsia="Arial" w:hAnsi="Arial"/>
          <w:b/>
          <w:bCs/>
          <w:color w:val="1B2A3D"/>
          <w:sz w:val="26"/>
          <w:szCs w:val="26"/>
        </w:rPr>
        <w:t xml:space="preserve">nhốt quyền lực vào lồng công nghệ</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Cơ chế này vận hành qua tám mắt xích.</w:t>
      </w:r>
    </w:p>
    <w:p>
      <w:pPr>
        <w:spacing w:after="160" w:before="0" w:line="380"/>
      </w:pPr>
      <w:r>
        <w:rPr>
          <w:rFonts w:ascii="Arial" w:cs="Arial" w:eastAsia="Arial" w:hAnsi="Arial"/>
          <w:color w:val="1B2A3D"/>
          <w:sz w:val="26"/>
          <w:szCs w:val="26"/>
        </w:rPr>
        <w:t xml:space="preserve">Quyền lực công — tức quyền quyết định và quyền truy cập — được đặt trên nền dữ liệu số liên thông: dữ liệu dân cư, đất đai, tài chính, thuế, đăng ký doanh nghiệp, mua sắm công và tài sản công.</w:t>
      </w:r>
    </w:p>
    <w:p>
      <w:pPr>
        <w:spacing w:after="160" w:before="0" w:line="380"/>
      </w:pPr>
      <w:r>
        <w:rPr>
          <w:rFonts w:ascii="Arial" w:cs="Arial" w:eastAsia="Arial" w:hAnsi="Arial"/>
          <w:color w:val="1B2A3D"/>
          <w:sz w:val="26"/>
          <w:szCs w:val="26"/>
        </w:rPr>
        <w:t xml:space="preserve">Từ nền dữ liệu đó, phân tích dữ liệu lớn và phân tích dự báo giúp phát hiện sớm dấu hiệu bất minh về tài sản, bất thường trong trúng thầu, trong giá mua sắm, trong thay đổi quy hoạch hay phê duyệt dự án.</w:t>
      </w:r>
    </w:p>
    <w:p>
      <w:pPr>
        <w:spacing w:after="160" w:before="0" w:line="380"/>
      </w:pPr>
      <w:r>
        <w:rPr>
          <w:rFonts w:ascii="Arial" w:cs="Arial" w:eastAsia="Arial" w:hAnsi="Arial"/>
          <w:color w:val="1B2A3D"/>
          <w:sz w:val="26"/>
          <w:szCs w:val="26"/>
        </w:rPr>
        <w:t xml:space="preserve">Tiếp theo, nhật ký truy cập bất biến và kiểm toán số biến mọi thao tác trên hệ thống thành dấu vết không thể xóa.</w:t>
      </w:r>
    </w:p>
    <w:p>
      <w:pPr>
        <w:spacing w:after="160" w:before="0" w:line="380"/>
      </w:pPr>
      <w:r>
        <w:rPr>
          <w:rFonts w:ascii="Arial" w:cs="Arial" w:eastAsia="Arial" w:hAnsi="Arial"/>
          <w:color w:val="1B2A3D"/>
          <w:sz w:val="26"/>
          <w:szCs w:val="26"/>
        </w:rPr>
        <w:t xml:space="preserve">Ba mắt xích cuối cùng là kết quả: </w:t>
      </w:r>
      <w:r>
        <w:rPr>
          <w:rFonts w:ascii="Arial" w:cs="Arial" w:eastAsia="Arial" w:hAnsi="Arial"/>
          <w:b/>
          <w:bCs/>
          <w:color w:val="1B2A3D"/>
          <w:sz w:val="26"/>
          <w:szCs w:val="26"/>
        </w:rPr>
        <w:t xml:space="preserve">minh bạch</w:t>
      </w:r>
      <w:r>
        <w:rPr>
          <w:rFonts w:ascii="Arial" w:cs="Arial" w:eastAsia="Arial" w:hAnsi="Arial"/>
          <w:color w:val="1B2A3D"/>
          <w:sz w:val="26"/>
          <w:szCs w:val="26"/>
        </w:rPr>
        <w:t xml:space="preserve">, </w:t>
      </w:r>
      <w:r>
        <w:rPr>
          <w:rFonts w:ascii="Arial" w:cs="Arial" w:eastAsia="Arial" w:hAnsi="Arial"/>
          <w:b/>
          <w:bCs/>
          <w:color w:val="1B2A3D"/>
          <w:sz w:val="26"/>
          <w:szCs w:val="26"/>
        </w:rPr>
        <w:t xml:space="preserve">trách nhiệm giải trình</w:t>
      </w:r>
      <w:r>
        <w:rPr>
          <w:rFonts w:ascii="Arial" w:cs="Arial" w:eastAsia="Arial" w:hAnsi="Arial"/>
          <w:color w:val="1B2A3D"/>
          <w:sz w:val="26"/>
          <w:szCs w:val="26"/>
        </w:rPr>
        <w:t xml:space="preserve">, </w:t>
      </w:r>
      <w:r>
        <w:rPr>
          <w:rFonts w:ascii="Arial" w:cs="Arial" w:eastAsia="Arial" w:hAnsi="Arial"/>
          <w:b/>
          <w:bCs/>
          <w:color w:val="1B2A3D"/>
          <w:sz w:val="26"/>
          <w:szCs w:val="26"/>
        </w:rPr>
        <w:t xml:space="preserve">liêm chính</w:t>
      </w:r>
      <w:r>
        <w:rPr>
          <w:rFonts w:ascii="Arial" w:cs="Arial" w:eastAsia="Arial" w:hAnsi="Arial"/>
          <w:color w:val="1B2A3D"/>
          <w:sz w:val="26"/>
          <w:szCs w:val="26"/>
        </w:rPr>
        <w:t xml:space="preserve"> — hội tụ thành </w:t>
      </w:r>
      <w:r>
        <w:rPr>
          <w:rFonts w:ascii="Arial" w:cs="Arial" w:eastAsia="Arial" w:hAnsi="Arial"/>
          <w:b/>
          <w:bCs/>
          <w:color w:val="1B2A3D"/>
          <w:sz w:val="26"/>
          <w:szCs w:val="26"/>
        </w:rPr>
        <w:t xml:space="preserve">kiểm soát quyền lực</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Về lợi ích: chính phủ điện tử và dịch vụ công trực tuyến giúp loại bỏ trung gian, giảm tiếp xúc trực tiếp, và qua đó giảm tham nhũng vặt — loại tham nhũng ảnh hưởng trực tiếp nhất đến cuộc sống người dân và hoạt động doanh nghiệp. Kinh nghiệm quốc tế xác nhận điều này: Estonia với hệ thống chính phủ số và truy vết giao dịch công; Hàn Quốc với mua sắm công điện tử; Ấn Độ với định danh số và chuyển tiền trực tiếp.</w:t>
      </w:r>
    </w:p>
    <w:p>
      <w:pPr>
        <w:spacing w:after="160" w:before="0" w:line="380"/>
      </w:pPr>
      <w:r>
        <w:rPr>
          <w:rFonts w:ascii="Arial" w:cs="Arial" w:eastAsia="Arial" w:hAnsi="Arial"/>
          <w:b w:val="false"/>
          <w:bCs w:val="false"/>
          <w:color w:val="1B2A3D"/>
          <w:sz w:val="26"/>
          <w:szCs w:val="26"/>
        </w:rPr>
        <w:t xml:space="preserve">Nhưng — và đây là điểm cần nói thẳng — </w:t>
      </w:r>
      <w:r>
        <w:rPr>
          <w:rFonts w:ascii="Arial" w:cs="Arial" w:eastAsia="Arial" w:hAnsi="Arial"/>
          <w:b/>
          <w:bCs/>
          <w:color w:val="1B2A3D"/>
          <w:sz w:val="26"/>
          <w:szCs w:val="26"/>
        </w:rPr>
        <w:t xml:space="preserve">chuyển đổi số không phải thuốc tiên</w:t>
      </w:r>
      <w:r>
        <w:rPr>
          <w:rFonts w:ascii="Arial" w:cs="Arial" w:eastAsia="Arial" w:hAnsi="Arial"/>
          <w:color w:val="1B2A3D"/>
          <w:sz w:val="26"/>
          <w:szCs w:val="26"/>
        </w:rPr>
        <w:t xml:space="preserve">.</w:t>
      </w:r>
    </w:p>
    <w:p>
      <w:pPr>
        <w:spacing w:after="160" w:before="0" w:line="380"/>
      </w:pPr>
      <w:r>
        <w:rPr>
          <w:rFonts w:ascii="Arial" w:cs="Arial" w:eastAsia="Arial" w:hAnsi="Arial"/>
          <w:color w:val="1B2A3D"/>
          <w:sz w:val="26"/>
          <w:szCs w:val="26"/>
        </w:rPr>
        <w:t xml:space="preserve">Nếu thiết kế kém, nó chỉ chuyển tham nhũng từ phong bì dưới gầm bàn sang quyền truy cập trong hệ thống.</w:t>
      </w:r>
    </w:p>
    <w:p>
      <w:pPr>
        <w:spacing w:after="160" w:before="0" w:line="380"/>
      </w:pPr>
      <w:r>
        <w:rPr>
          <w:rFonts w:ascii="Arial" w:cs="Arial" w:eastAsia="Arial" w:hAnsi="Arial"/>
          <w:color w:val="1B2A3D"/>
          <w:sz w:val="26"/>
          <w:szCs w:val="26"/>
        </w:rPr>
        <w:t xml:space="preserve">Rủi ro cụ thể gồm: tham nhũng dữ liệu — sửa, xóa, ẩn hoặc độc quyền dữ liệu công để trục lợi; tham nhũng thuật toán — khi việc chấm điểm rủi ro, phân luồng hồ sơ hay xếp hạng nhà thầu bị thao túng; tham nhũng nền tảng — tạo cửa sau, cấp tài khoản đặc quyền, thao túng nhật ký hệ thống; và tuân thủ hình thức, mà quốc tế gọi là compliance washing.</w:t>
      </w:r>
    </w:p>
    <w:p>
      <w:pPr>
        <w:spacing w:after="160" w:before="0" w:line="380"/>
      </w:pPr>
      <w:r>
        <w:rPr>
          <w:rFonts w:ascii="Arial" w:cs="Arial" w:eastAsia="Arial" w:hAnsi="Arial"/>
          <w:color w:val="1B2A3D"/>
          <w:sz w:val="26"/>
          <w:szCs w:val="26"/>
        </w:rPr>
        <w:t xml:space="preserve">Vì vậy, điều kiện tiên quyết là: dữ liệu phải sạch; thuật toán phải kiểm toán được; hệ thống phải phân quyền chặt; và người dân phải có quyền giám sát.</w:t>
      </w:r>
    </w:p>
    <w:p>
      <w:pPr>
        <w:spacing w:after="160" w:before="0" w:line="380"/>
      </w:pPr>
      <w:r>
        <w:rPr>
          <w:rFonts w:ascii="Arial" w:cs="Arial" w:eastAsia="Arial" w:hAnsi="Arial"/>
          <w:color w:val="1B2A3D"/>
          <w:sz w:val="26"/>
          <w:szCs w:val="26"/>
        </w:rPr>
        <w:t xml:space="preserve">Ngân hàng Thế giới nhấn mạnh: công nghệ số chỉ phát huy tác dụng khi được đặt trong khuôn khổ thể chế tốt, dữ liệu đáng tin cậy và trách nhiệm giải trình rõ ràng.</w:t>
      </w:r>
    </w:p>
    <w:p>
      <w:pPr>
        <w:shd w:fill="12355B" w:val="clear"/>
        <w:spacing w:after="0" w:before="360"/>
      </w:pPr>
      <w:r>
        <w:rPr>
          <w:rFonts w:ascii="Arial" w:cs="Arial" w:eastAsia="Arial" w:hAnsi="Arial"/>
          <w:b/>
          <w:bCs/>
          <w:color w:val="FFFFFF"/>
          <w:sz w:val="24"/>
          <w:szCs w:val="24"/>
        </w:rPr>
        <w:t xml:space="preserve">  SLIDE 8  —  BỐN TRỤ CỘT GIẢI PHÁP</w:t>
      </w:r>
    </w:p>
    <w:p>
      <w:pPr>
        <w:shd w:fill="E7EDF5" w:val="clear"/>
        <w:spacing w:after="140" w:before="0"/>
      </w:pPr>
      <w:r>
        <w:rPr>
          <w:rFonts w:ascii="Arial" w:cs="Arial" w:eastAsia="Arial" w:hAnsi="Arial"/>
          <w:b/>
          <w:bCs/>
          <w:color w:val="12355B"/>
          <w:sz w:val="19"/>
          <w:szCs w:val="19"/>
        </w:rPr>
        <w:t xml:space="preserve">  14:48 – 17:13   |   Thời lượng 02:25   |   400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Nhịp đều, có cấu trúc. Mỗi trụ cột ngắt 0,8 giây. Câu OECD đọc nhấn. Câu lưu ý cuối: giọng nhỏ hơn, tốc độ chậm.</w:t>
      </w:r>
    </w:p>
    <w:p>
      <w:pPr>
        <w:spacing w:after="160" w:before="0" w:line="380"/>
      </w:pPr>
      <w:r>
        <w:rPr>
          <w:rFonts w:ascii="Arial" w:cs="Arial" w:eastAsia="Arial" w:hAnsi="Arial"/>
          <w:color w:val="1B2A3D"/>
          <w:sz w:val="26"/>
          <w:szCs w:val="26"/>
        </w:rPr>
        <w:t xml:space="preserve">Từ chẩn đoán đó, bài viết đề xuất bốn nhóm giải pháp đồng bộ.</w:t>
      </w:r>
    </w:p>
    <w:p>
      <w:pPr>
        <w:spacing w:after="160" w:before="0" w:line="380"/>
      </w:pPr>
      <w:r>
        <w:rPr>
          <w:rFonts w:ascii="Arial" w:cs="Arial" w:eastAsia="Arial" w:hAnsi="Arial"/>
          <w:b/>
          <w:bCs/>
          <w:color w:val="1B2A3D"/>
          <w:sz w:val="26"/>
          <w:szCs w:val="26"/>
        </w:rPr>
        <w:t xml:space="preserve">Trụ cột thứ nhất — thể chế và pháp luật.</w:t>
      </w:r>
      <w:r>
        <w:rPr>
          <w:rFonts w:ascii="Arial" w:cs="Arial" w:eastAsia="Arial" w:hAnsi="Arial"/>
          <w:color w:val="1B2A3D"/>
          <w:sz w:val="26"/>
          <w:szCs w:val="26"/>
        </w:rPr>
        <w:t xml:space="preserve"> Gồm: dữ liệu mở về đấu thầu, ngân sách và đất đai; kê khai tài sản điện tử kèm đối chiếu dữ liệu liên thông; và bảo vệ người tố cáo thông qua nền tảng phản ánh số. Đây là trụ cột có trách nhiệm giải trình cao nhất, nhưng cũng là trụ cột có tính khả thi thấp nhất — nút thắt nằm ở khâu thực thi. Rủi ro cần kiểm soát: lộ dữ liệu nhạy cảm, kê khai hình thức, và trả thù người tố cáo.</w:t>
      </w:r>
    </w:p>
    <w:p>
      <w:pPr>
        <w:spacing w:after="160" w:before="0" w:line="380"/>
      </w:pPr>
      <w:r>
        <w:rPr>
          <w:rFonts w:ascii="Arial" w:cs="Arial" w:eastAsia="Arial" w:hAnsi="Arial"/>
          <w:b/>
          <w:bCs/>
          <w:color w:val="1B2A3D"/>
          <w:sz w:val="26"/>
          <w:szCs w:val="26"/>
        </w:rPr>
        <w:t xml:space="preserve">Trụ cột thứ hai — công nghệ và dữ liệu.</w:t>
      </w:r>
      <w:r>
        <w:rPr>
          <w:rFonts w:ascii="Arial" w:cs="Arial" w:eastAsia="Arial" w:hAnsi="Arial"/>
          <w:color w:val="1B2A3D"/>
          <w:sz w:val="26"/>
          <w:szCs w:val="26"/>
        </w:rPr>
        <w:t xml:space="preserve"> Gồm: nhật ký truy cập bất biến trong hệ thống công vụ số; đấu thầu điện tử kèm phân tích bất thường; và kiểm toán thuật toán, kiểm toán dữ liệu. Rủi ro: quản trị an ninh mạng yếu; thông thầu qua tiêu chí kỹ thuật may đo; và thiếu năng lực chuyên môn độc lập.</w:t>
      </w:r>
    </w:p>
    <w:p>
      <w:pPr>
        <w:spacing w:after="160" w:before="0" w:line="380"/>
      </w:pPr>
      <w:r>
        <w:rPr>
          <w:rFonts w:ascii="Arial" w:cs="Arial" w:eastAsia="Arial" w:hAnsi="Arial"/>
          <w:b/>
          <w:bCs/>
          <w:color w:val="1B2A3D"/>
          <w:sz w:val="26"/>
          <w:szCs w:val="26"/>
        </w:rPr>
        <w:t xml:space="preserve">Trụ cột thứ ba — văn hóa và con người.</w:t>
      </w:r>
      <w:r>
        <w:rPr>
          <w:rFonts w:ascii="Arial" w:cs="Arial" w:eastAsia="Arial" w:hAnsi="Arial"/>
          <w:color w:val="1B2A3D"/>
          <w:sz w:val="26"/>
          <w:szCs w:val="26"/>
        </w:rPr>
        <w:t xml:space="preserve"> Gồm: giáo dục văn hóa liêm chính từ nhà trường và công vụ; chính sách tiền lương, đãi ngộ hợp lý để cán bộ không cần tham nhũng; và đổi mới tuyên truyền, xây dựng đội ngũ cán bộ có năng lực số. Trụ cột này đạt mức liêm chính cao nhất, nhưng hiệu quả dài hạn và khó đo lường nhanh.</w:t>
      </w:r>
    </w:p>
    <w:p>
      <w:pPr>
        <w:spacing w:after="160" w:before="0" w:line="380"/>
      </w:pPr>
      <w:r>
        <w:rPr>
          <w:rFonts w:ascii="Arial" w:cs="Arial" w:eastAsia="Arial" w:hAnsi="Arial"/>
          <w:b/>
          <w:bCs/>
          <w:color w:val="1B2A3D"/>
          <w:sz w:val="26"/>
          <w:szCs w:val="26"/>
        </w:rPr>
        <w:t xml:space="preserve">Trụ cột thứ tư — liêm chính công – tư.</w:t>
      </w:r>
      <w:r>
        <w:rPr>
          <w:rFonts w:ascii="Arial" w:cs="Arial" w:eastAsia="Arial" w:hAnsi="Arial"/>
          <w:color w:val="1B2A3D"/>
          <w:sz w:val="26"/>
          <w:szCs w:val="26"/>
        </w:rPr>
        <w:t xml:space="preserve"> Gồm: chương trình liêm chính doanh nghiệp và tiêu chuẩn ISO 37001; công khai sở hữu hưởng lợi và kiểm soát doanh nghiệp sân sau; cùng cơ chế báo cáo an toàn khi doanh nghiệp bị vòi vĩnh. Rủi ro lớn nhất ở đây là tuân thủ hình thức.</w:t>
      </w:r>
    </w:p>
    <w:p>
      <w:pPr>
        <w:spacing w:after="160" w:before="0" w:line="380"/>
      </w:pPr>
      <w:r>
        <w:rPr>
          <w:rFonts w:ascii="Arial" w:cs="Arial" w:eastAsia="Arial" w:hAnsi="Arial"/>
          <w:color w:val="1B2A3D"/>
          <w:sz w:val="26"/>
          <w:szCs w:val="26"/>
        </w:rPr>
        <w:t xml:space="preserve">Về điểm này, Tổ chức Hợp tác và Phát triển Kinh tế, năm 2025, nhấn mạnh: việc đánh giá chương trình tuân thủ chống tham nhũng phải vượt khỏi cách tiếp cận đánh dấu hình thức. Nói cách khác: </w:t>
      </w:r>
      <w:r>
        <w:rPr>
          <w:rFonts w:ascii="Arial" w:cs="Arial" w:eastAsia="Arial" w:hAnsi="Arial"/>
          <w:b/>
          <w:bCs/>
          <w:color w:val="1B2A3D"/>
          <w:sz w:val="26"/>
          <w:szCs w:val="26"/>
        </w:rPr>
        <w:t xml:space="preserve">báo cáo đẹp không đồng nghĩa với liêm chính thật</w:t>
      </w:r>
      <w:r>
        <w:rPr>
          <w:rFonts w:ascii="Arial" w:cs="Arial" w:eastAsia="Arial" w:hAnsi="Arial"/>
          <w:color w:val="1B2A3D"/>
          <w:sz w:val="26"/>
          <w:szCs w:val="26"/>
        </w:rPr>
        <w:t xml:space="preserve">. Phải đo hành vi, giao dịch, quy trình và kết quả.</w:t>
      </w:r>
    </w:p>
    <w:p>
      <w:pPr>
        <w:spacing w:after="160" w:before="0" w:line="380"/>
      </w:pPr>
      <w:r>
        <w:rPr>
          <w:rFonts w:ascii="Arial" w:cs="Arial" w:eastAsia="Arial" w:hAnsi="Arial"/>
          <w:i/>
          <w:iCs/>
          <w:color w:val="1B2A3D"/>
          <w:sz w:val="26"/>
          <w:szCs w:val="26"/>
        </w:rPr>
        <w:t xml:space="preserve">Xin lưu ý: các thanh đánh giá trên màn hình là quy đổi trực quan từ đánh giá định tính trong bài viết, không phải số liệu đo lường thực nghiệm.</w:t>
      </w:r>
    </w:p>
    <w:p>
      <w:pPr>
        <w:shd w:fill="12355B" w:val="clear"/>
        <w:spacing w:after="0" w:before="360"/>
      </w:pPr>
      <w:r>
        <w:rPr>
          <w:rFonts w:ascii="Arial" w:cs="Arial" w:eastAsia="Arial" w:hAnsi="Arial"/>
          <w:b/>
          <w:bCs/>
          <w:color w:val="FFFFFF"/>
          <w:sz w:val="24"/>
          <w:szCs w:val="24"/>
        </w:rPr>
        <w:t xml:space="preserve">  SLIDE 9  —  KHUNG TÍCH HỢP</w:t>
      </w:r>
    </w:p>
    <w:p>
      <w:pPr>
        <w:shd w:fill="E7EDF5" w:val="clear"/>
        <w:spacing w:after="140" w:before="0"/>
      </w:pPr>
      <w:r>
        <w:rPr>
          <w:rFonts w:ascii="Arial" w:cs="Arial" w:eastAsia="Arial" w:hAnsi="Arial"/>
          <w:b/>
          <w:bCs/>
          <w:color w:val="12355B"/>
          <w:sz w:val="19"/>
          <w:szCs w:val="19"/>
        </w:rPr>
        <w:t xml:space="preserve">  17:13 – 18:37   |   Thời lượng 01:24   |   230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Trang trọng dần lên. Bốn vế “không thể – không dám – không muốn – không cần” đọc tách bạch, nhịp đều.</w:t>
      </w:r>
    </w:p>
    <w:p>
      <w:pPr>
        <w:spacing w:after="160" w:before="0" w:line="380"/>
      </w:pPr>
      <w:r>
        <w:rPr>
          <w:rFonts w:ascii="Arial" w:cs="Arial" w:eastAsia="Arial" w:hAnsi="Arial"/>
          <w:color w:val="1B2A3D"/>
          <w:sz w:val="26"/>
          <w:szCs w:val="26"/>
        </w:rPr>
        <w:t xml:space="preserve">Toàn bộ lập luận hội tụ trong một khung tích hợp.</w:t>
      </w:r>
    </w:p>
    <w:p>
      <w:pPr>
        <w:spacing w:after="160" w:before="0" w:line="380"/>
      </w:pPr>
      <w:r>
        <w:rPr>
          <w:rFonts w:ascii="Arial" w:cs="Arial" w:eastAsia="Arial" w:hAnsi="Arial"/>
          <w:b w:val="false"/>
          <w:bCs w:val="false"/>
          <w:color w:val="1B2A3D"/>
          <w:sz w:val="26"/>
          <w:szCs w:val="26"/>
        </w:rPr>
        <w:t xml:space="preserve">Nền lý luận xuyên suốt là khung </w:t>
      </w:r>
      <w:r>
        <w:rPr>
          <w:rFonts w:ascii="Arial" w:cs="Arial" w:eastAsia="Arial" w:hAnsi="Arial"/>
          <w:b/>
          <w:bCs/>
          <w:color w:val="1B2A3D"/>
          <w:sz w:val="26"/>
          <w:szCs w:val="26"/>
        </w:rPr>
        <w:t xml:space="preserve">bốn không</w:t>
      </w:r>
      <w:r>
        <w:rPr>
          <w:rFonts w:ascii="Arial" w:cs="Arial" w:eastAsia="Arial" w:hAnsi="Arial"/>
          <w:color w:val="1B2A3D"/>
          <w:sz w:val="26"/>
          <w:szCs w:val="26"/>
        </w:rPr>
        <w:t xml:space="preserve">, được hệ thống hóa từ tư tưởng Hồ Chí Minh và phát triển qua các kỳ Đại hội: </w:t>
      </w:r>
      <w:r>
        <w:rPr>
          <w:rFonts w:ascii="Arial" w:cs="Arial" w:eastAsia="Arial" w:hAnsi="Arial"/>
          <w:b/>
          <w:bCs/>
          <w:color w:val="1B2A3D"/>
          <w:sz w:val="26"/>
          <w:szCs w:val="26"/>
        </w:rPr>
        <w:t xml:space="preserve">không thể</w:t>
      </w:r>
      <w:r>
        <w:rPr>
          <w:rFonts w:ascii="Arial" w:cs="Arial" w:eastAsia="Arial" w:hAnsi="Arial"/>
          <w:color w:val="1B2A3D"/>
          <w:sz w:val="26"/>
          <w:szCs w:val="26"/>
        </w:rPr>
        <w:t xml:space="preserve"> tham nhũng, bằng thể chế chặt chẽ và quy trình minh bạch; </w:t>
      </w:r>
      <w:r>
        <w:rPr>
          <w:rFonts w:ascii="Arial" w:cs="Arial" w:eastAsia="Arial" w:hAnsi="Arial"/>
          <w:b/>
          <w:bCs/>
          <w:color w:val="1B2A3D"/>
          <w:sz w:val="26"/>
          <w:szCs w:val="26"/>
        </w:rPr>
        <w:t xml:space="preserve">không dám</w:t>
      </w:r>
      <w:r>
        <w:rPr>
          <w:rFonts w:ascii="Arial" w:cs="Arial" w:eastAsia="Arial" w:hAnsi="Arial"/>
          <w:color w:val="1B2A3D"/>
          <w:sz w:val="26"/>
          <w:szCs w:val="26"/>
        </w:rPr>
        <w:t xml:space="preserve"> tham nhũng, bằng chế tài nghiêm khắc, xử lý không có vùng cấm, không có ngoại lệ; </w:t>
      </w:r>
      <w:r>
        <w:rPr>
          <w:rFonts w:ascii="Arial" w:cs="Arial" w:eastAsia="Arial" w:hAnsi="Arial"/>
          <w:b/>
          <w:bCs/>
          <w:color w:val="1B2A3D"/>
          <w:sz w:val="26"/>
          <w:szCs w:val="26"/>
        </w:rPr>
        <w:t xml:space="preserve">không muốn</w:t>
      </w:r>
      <w:r>
        <w:rPr>
          <w:rFonts w:ascii="Arial" w:cs="Arial" w:eastAsia="Arial" w:hAnsi="Arial"/>
          <w:color w:val="1B2A3D"/>
          <w:sz w:val="26"/>
          <w:szCs w:val="26"/>
        </w:rPr>
        <w:t xml:space="preserve"> tham nhũng, bằng giáo dục đạo đức và văn hóa liêm chính; và </w:t>
      </w:r>
      <w:r>
        <w:rPr>
          <w:rFonts w:ascii="Arial" w:cs="Arial" w:eastAsia="Arial" w:hAnsi="Arial"/>
          <w:b/>
          <w:bCs/>
          <w:color w:val="1B2A3D"/>
          <w:sz w:val="26"/>
          <w:szCs w:val="26"/>
        </w:rPr>
        <w:t xml:space="preserve">không cần</w:t>
      </w:r>
      <w:r>
        <w:rPr>
          <w:rFonts w:ascii="Arial" w:cs="Arial" w:eastAsia="Arial" w:hAnsi="Arial"/>
          <w:color w:val="1B2A3D"/>
          <w:sz w:val="26"/>
          <w:szCs w:val="26"/>
        </w:rPr>
        <w:t xml:space="preserve"> tham nhũng, bằng chính sách tiền lương, đãi ngộ hợp lý.</w:t>
      </w:r>
    </w:p>
    <w:p>
      <w:pPr>
        <w:spacing w:after="160" w:before="0" w:line="380"/>
      </w:pPr>
      <w:r>
        <w:rPr>
          <w:rFonts w:ascii="Arial" w:cs="Arial" w:eastAsia="Arial" w:hAnsi="Arial"/>
          <w:color w:val="1B2A3D"/>
          <w:sz w:val="26"/>
          <w:szCs w:val="26"/>
        </w:rPr>
        <w:t xml:space="preserve">Ba mặt trận — thể chế, công nghệ và tư tưởng — hội tụ tại một điểm duy nhất: liêm chính và kiểm soát quyền lực.</w:t>
      </w:r>
    </w:p>
    <w:p>
      <w:pPr>
        <w:spacing w:after="160" w:before="0" w:line="380"/>
      </w:pPr>
      <w:r>
        <w:rPr>
          <w:rFonts w:ascii="Arial" w:cs="Arial" w:eastAsia="Arial" w:hAnsi="Arial"/>
          <w:color w:val="1B2A3D"/>
          <w:sz w:val="26"/>
          <w:szCs w:val="26"/>
        </w:rPr>
        <w:t xml:space="preserve">Thể chế bảo đảm không thể và không dám. Công nghệ mang lại truy vết, kiểm toán và phát hiện bất thường. Còn tư tưởng thực hiện đồng thời hai nhiệm vụ không thể tách rời: xây — chủ động phủ xanh không gian mạng bằng thông tin chính thống; và chống — nhận diện, đấu tranh phản bác các luận điệu sai trái, xuyên tạc.</w:t>
      </w:r>
    </w:p>
    <w:p>
      <w:pPr>
        <w:spacing w:after="160" w:before="0" w:line="380"/>
      </w:pPr>
      <w:r>
        <w:rPr>
          <w:rFonts w:ascii="Arial" w:cs="Arial" w:eastAsia="Arial" w:hAnsi="Arial"/>
          <w:color w:val="1B2A3D"/>
          <w:sz w:val="26"/>
          <w:szCs w:val="26"/>
        </w:rPr>
        <w:t xml:space="preserve">Mệnh đề thống nhất là: </w:t>
      </w:r>
      <w:r>
        <w:rPr>
          <w:rFonts w:ascii="Arial" w:cs="Arial" w:eastAsia="Arial" w:hAnsi="Arial"/>
          <w:b/>
          <w:bCs/>
          <w:color w:val="1B2A3D"/>
          <w:sz w:val="26"/>
          <w:szCs w:val="26"/>
        </w:rPr>
        <w:t xml:space="preserve">bảo vệ nền tảng tư tưởng của Đảng không bằng lý luận suông, mà bằng hành động thực tiễn, bằng kết quả có thể đo đếm, bằng niềm tin được củng cố mỗi ngày</w:t>
      </w:r>
      <w:r>
        <w:rPr>
          <w:rFonts w:ascii="Arial" w:cs="Arial" w:eastAsia="Arial" w:hAnsi="Arial"/>
          <w:color w:val="1B2A3D"/>
          <w:sz w:val="26"/>
          <w:szCs w:val="26"/>
        </w:rPr>
        <w:t xml:space="preserve">.</w:t>
      </w:r>
    </w:p>
    <w:p>
      <w:pPr>
        <w:shd w:fill="12355B" w:val="clear"/>
        <w:spacing w:after="0" w:before="360"/>
      </w:pPr>
      <w:r>
        <w:rPr>
          <w:rFonts w:ascii="Arial" w:cs="Arial" w:eastAsia="Arial" w:hAnsi="Arial"/>
          <w:b/>
          <w:bCs/>
          <w:color w:val="FFFFFF"/>
          <w:sz w:val="24"/>
          <w:szCs w:val="24"/>
        </w:rPr>
        <w:t xml:space="preserve">  SLIDE 10  —  KẾT LUẬN</w:t>
      </w:r>
    </w:p>
    <w:p>
      <w:pPr>
        <w:shd w:fill="E7EDF5" w:val="clear"/>
        <w:spacing w:after="140" w:before="0"/>
      </w:pPr>
      <w:r>
        <w:rPr>
          <w:rFonts w:ascii="Arial" w:cs="Arial" w:eastAsia="Arial" w:hAnsi="Arial"/>
          <w:b/>
          <w:bCs/>
          <w:color w:val="12355B"/>
          <w:sz w:val="19"/>
          <w:szCs w:val="19"/>
        </w:rPr>
        <w:t xml:space="preserve">  18:37 – 19:32   |   Thời lượng 00:55   |   152 âm tiết</w:t>
      </w:r>
    </w:p>
    <w:p>
      <w:pPr>
        <w:spacing w:after="180" w:before="0" w:line="260"/>
      </w:pPr>
      <w:r>
        <w:rPr>
          <w:rFonts w:ascii="Arial" w:cs="Arial" w:eastAsia="Arial" w:hAnsi="Arial"/>
          <w:b/>
          <w:bCs/>
          <w:color w:val="00A99D"/>
          <w:sz w:val="22"/>
          <w:szCs w:val="22"/>
        </w:rPr>
        <w:t xml:space="preserve">ĐỌC: </w:t>
      </w:r>
      <w:r>
        <w:rPr>
          <w:rFonts w:ascii="Arial" w:cs="Arial" w:eastAsia="Arial" w:hAnsi="Arial"/>
          <w:i/>
          <w:iCs/>
          <w:color w:val="6B7C8F"/>
          <w:sz w:val="22"/>
          <w:szCs w:val="22"/>
        </w:rPr>
        <w:t xml:space="preserve">Cao trào rồi hạ. Ba takeaway đọc dứt khoát. Câu chốt đọc chậm, ngắt 1,5 giây trước “Xin trân trọng cảm ơn”.</w:t>
      </w:r>
    </w:p>
    <w:p>
      <w:pPr>
        <w:spacing w:after="160" w:before="0" w:line="380"/>
      </w:pPr>
      <w:r>
        <w:rPr>
          <w:rFonts w:ascii="Arial" w:cs="Arial" w:eastAsia="Arial" w:hAnsi="Arial"/>
          <w:color w:val="1B2A3D"/>
          <w:sz w:val="26"/>
          <w:szCs w:val="26"/>
        </w:rPr>
        <w:t xml:space="preserve">Xin khép lại bằng ba điều.</w:t>
      </w:r>
    </w:p>
    <w:p>
      <w:pPr>
        <w:spacing w:after="160" w:before="0" w:line="380"/>
      </w:pPr>
      <w:r>
        <w:rPr>
          <w:rFonts w:ascii="Arial" w:cs="Arial" w:eastAsia="Arial" w:hAnsi="Arial"/>
          <w:b/>
          <w:bCs/>
          <w:color w:val="1B2A3D"/>
          <w:sz w:val="26"/>
          <w:szCs w:val="26"/>
        </w:rPr>
        <w:t xml:space="preserve">Một: thiết kế quan trọng hơn công cụ.</w:t>
      </w:r>
      <w:r>
        <w:rPr>
          <w:rFonts w:ascii="Arial" w:cs="Arial" w:eastAsia="Arial" w:hAnsi="Arial"/>
          <w:color w:val="1B2A3D"/>
          <w:sz w:val="26"/>
          <w:szCs w:val="26"/>
        </w:rPr>
        <w:t xml:space="preserve"> Chuyển đổi số không tự động triệt tiêu tham nhũng; thiết kế sai chỉ dời tham nhũng vào bên trong hệ thống.</w:t>
      </w:r>
    </w:p>
    <w:p>
      <w:pPr>
        <w:spacing w:after="160" w:before="0" w:line="380"/>
      </w:pPr>
      <w:r>
        <w:rPr>
          <w:rFonts w:ascii="Arial" w:cs="Arial" w:eastAsia="Arial" w:hAnsi="Arial"/>
          <w:b/>
          <w:bCs/>
          <w:color w:val="1B2A3D"/>
          <w:sz w:val="26"/>
          <w:szCs w:val="26"/>
        </w:rPr>
        <w:t xml:space="preserve">Hai: lồng công nghệ chỉ vận hành khi hội đủ năm điều kiện</w:t>
      </w:r>
      <w:r>
        <w:rPr>
          <w:rFonts w:ascii="Arial" w:cs="Arial" w:eastAsia="Arial" w:hAnsi="Arial"/>
          <w:color w:val="1B2A3D"/>
          <w:sz w:val="26"/>
          <w:szCs w:val="26"/>
        </w:rPr>
        <w:t xml:space="preserve"> — thể chế chặt chẽ, dữ liệu đáng tin cậy, kiểm toán số độc lập, phân quyền rõ ràng, và văn hóa liêm chính.</w:t>
      </w:r>
    </w:p>
    <w:p>
      <w:pPr>
        <w:spacing w:after="160" w:before="0" w:line="380"/>
      </w:pPr>
      <w:r>
        <w:rPr>
          <w:rFonts w:ascii="Arial" w:cs="Arial" w:eastAsia="Arial" w:hAnsi="Arial"/>
          <w:b/>
          <w:bCs/>
          <w:color w:val="1B2A3D"/>
          <w:sz w:val="26"/>
          <w:szCs w:val="26"/>
        </w:rPr>
        <w:t xml:space="preserve">Ba: bằng chứng là vũ khí tư tưởng.</w:t>
      </w:r>
      <w:r>
        <w:rPr>
          <w:rFonts w:ascii="Arial" w:cs="Arial" w:eastAsia="Arial" w:hAnsi="Arial"/>
          <w:color w:val="1B2A3D"/>
          <w:sz w:val="26"/>
          <w:szCs w:val="26"/>
        </w:rPr>
        <w:t xml:space="preserve"> Mọi luận điệu lợi dụng tham nhũng để phủ nhận vai trò lãnh đạo của Đảng đều đi ngược thực tiễn khách quan và bằng chứng khoa học.</w:t>
      </w:r>
    </w:p>
    <w:p>
      <w:pPr>
        <w:spacing w:after="160" w:before="0" w:line="380"/>
      </w:pPr>
      <w:r>
        <w:rPr>
          <w:rFonts w:ascii="Arial" w:cs="Arial" w:eastAsia="Arial" w:hAnsi="Arial"/>
          <w:b/>
          <w:bCs/>
          <w:color w:val="1B2A3D"/>
          <w:sz w:val="26"/>
          <w:szCs w:val="26"/>
        </w:rPr>
        <w:t xml:space="preserve">Nói ngắn gọn: chống tham nhũng thời số không chỉ là bắt đúng người sai, mà còn là thiết kế một hệ thống khiến cái sai khó nảy mầm, khó che giấu và khó tái diễn.</w:t>
      </w:r>
    </w:p>
    <w:p>
      <w:pPr>
        <w:spacing w:after="160" w:before="0" w:line="380"/>
      </w:pPr>
      <w:r>
        <w:rPr>
          <w:rFonts w:ascii="Arial" w:cs="Arial" w:eastAsia="Arial" w:hAnsi="Arial"/>
          <w:color w:val="1B2A3D"/>
          <w:sz w:val="26"/>
          <w:szCs w:val="26"/>
        </w:rPr>
        <w:t xml:space="preserve">Xin trân trọng cảm ơn quý vị.</w:t>
      </w:r>
    </w:p>
    <w:p>
      <w:pPr>
        <w:pageBreakBefore/>
      </w:pPr>
    </w:p>
    <w:p>
      <w:pPr>
        <w:pStyle w:val="Heading1"/>
        <w:spacing w:after="160" w:before="320"/>
      </w:pPr>
      <w:r>
        <w:rPr>
          <w:rFonts w:ascii="Arial" w:cs="Arial" w:eastAsia="Arial" w:hAnsi="Arial"/>
          <w:b/>
          <w:bCs/>
          <w:color w:val="12355B"/>
          <w:sz w:val="30"/>
          <w:szCs w:val="30"/>
        </w:rPr>
        <w:t xml:space="preserve">HƯỚNG DẪN PHÁT ÂM</w:t>
      </w:r>
    </w:p>
    <w:p>
      <w:pPr>
        <w:spacing w:after="160" w:before="0" w:line="360"/>
        <w:jc w:val="left"/>
      </w:pPr>
      <w:r>
        <w:rPr>
          <w:rFonts w:ascii="Arial" w:cs="Arial" w:eastAsia="Arial" w:hAnsi="Arial"/>
          <w:i/>
          <w:iCs/>
          <w:color w:val="6B7C8F"/>
          <w:sz w:val="22"/>
          <w:szCs w:val="22"/>
        </w:rPr>
        <w:t xml:space="preserve">Bảng này để tránh vấp và tránh đọc sai tên riêng / thuật ngữ. Cột “Đọc là” là cách đọc khuyến nghị trên sóng.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00"/>
      </w:tblGrid>
      <w:tr>
        <w:trPr>
          <w:tblHeader/>
        </w:trPr>
        <w:tc>
          <w:tcPr>
            <w:tcW w:type="dxa" w:w="32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Xuất hiện trong kịch bản</w:t>
            </w:r>
          </w:p>
        </w:tc>
        <w:tc>
          <w:tcPr>
            <w:tcW w:type="dxa" w:w="34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Đọc là</w:t>
            </w:r>
          </w:p>
        </w:tc>
        <w:tc>
          <w:tcPr>
            <w:tcW w:type="dxa" w:w="2400"/>
            <w:shd w:fill="12355B" w:val="clear"/>
            <w:tcMar>
              <w:top w:type="dxa" w:w="70"/>
              <w:left w:type="dxa" w:w="100"/>
              <w:bottom w:type="dxa" w:w="70"/>
              <w:right w:type="dxa" w:w="100"/>
            </w:tcMar>
          </w:tcPr>
          <w:p>
            <w:pPr>
              <w:spacing w:after="0" w:line="240"/>
              <w:jc w:val="left"/>
            </w:pPr>
            <w:r>
              <w:rPr>
                <w:rFonts w:ascii="Arial" w:cs="Arial" w:eastAsia="Arial" w:hAnsi="Arial"/>
                <w:b/>
                <w:bCs/>
                <w:color w:val="FFFFFF"/>
                <w:sz w:val="22"/>
                <w:szCs w:val="22"/>
              </w:rPr>
              <w:t xml:space="preserve">Ghi chú</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Đề án 06</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Đề án không sáu</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Không đọc “Đề án sáu”</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Nghị định 59 / Nghị định 130</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Nghị định năm mươi chín / một trăm ba mươi</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Đã viết dạng dễ đọc trong kịch bản</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Luật Phòng, chống tham nhũng số 36</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…số ba mươi sáu</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Luật số 36/2018/QH14</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hơn 4.500 vụ / 9.370 bị can</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bốn nghìn năm trăm / chín nghìn ba trăm bảy mươi</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Đọc tách bạch, không dồn</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6.777 / 11.815 / 3.496 / 7.354</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sáu nghìn bảy trăm bảy mươi bảy · mười một nghìn tám trăm mười lăm · ba nghìn bốn trăm chín mươi sáu · bảy nghìn ba trăm năm mươi tư</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Ngắt 0,5s trước mỗi con số</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46 phần trăm</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bốn mươi sáu phần trăm</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Đã viết bằng chữ, không dùng ký hiệu %</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AIC</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a-i-xi</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Theo cách đọc phổ thông trên truyền thông</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FLC</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ép-eo-xi</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Theo cách đọc phổ thông trên truyền thông</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Maruichi và Abe</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Ma-ru-i-chi và A-bê</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Học giả Nhật Bản</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De Jong, Tú và Van Ees</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Đờ Giông, Tú và Van Ét</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Học giả Hà Lan; “Tú” là tác giả bài viết</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Phan, Inouye và Hayashi</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Phan, I-nô-u-ê và Ha-ya-si</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Học giả Nhật Bản</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Hoàng và cộng sự</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Hoàng và cộng sự</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Đọc tự nhiên</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Estonia</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Ét-xtô-ni-a</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ISO 37001</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I-sô ba mươi bảy nghìn không trăm lẻ một</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Tiêu chuẩn hệ thống quản lý chống hối lộ</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compliance washing</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com-plai-ơn wo-shing</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Giữ nguyên tiếng Anh; đã có bản dịch “tuân thủ hình thức” đọc ngay trước đó</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Tổ chức Minh bạch Quốc tế</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đọc trọn tiếng Việt</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Đã thay cho “Transparency International” để không vấp</w:t>
            </w:r>
          </w:p>
        </w:tc>
      </w:tr>
      <w:tr>
        <w:trPr>
          <w:tblHeader w:val="false"/>
        </w:trPr>
        <w:tc>
          <w:tcPr>
            <w:tcW w:type="dxa" w:w="32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Công ước Liên hợp quốc về chống tham nhũng</w:t>
            </w:r>
          </w:p>
        </w:tc>
        <w:tc>
          <w:tcPr>
            <w:tcW w:type="dxa" w:w="3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đọc trọn tiếng Việt</w:t>
            </w:r>
          </w:p>
        </w:tc>
        <w:tc>
          <w:tcPr>
            <w:tcW w:type="dxa" w:w="2400"/>
            <w:shd w:fill="F4F7FA" w:val="clear"/>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Đã thay cho “UNCAC” để không vấp</w:t>
            </w:r>
          </w:p>
        </w:tc>
      </w:tr>
      <w:tr>
        <w:trPr>
          <w:tblHeader w:val="false"/>
        </w:trPr>
        <w:tc>
          <w:tcPr>
            <w:tcW w:type="dxa" w:w="32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Tổ chức Hợp tác và Phát triển Kinh tế</w:t>
            </w:r>
          </w:p>
        </w:tc>
        <w:tc>
          <w:tcPr>
            <w:tcW w:type="dxa" w:w="3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đọc trọn tiếng Việt</w:t>
            </w:r>
          </w:p>
        </w:tc>
        <w:tc>
          <w:tcPr>
            <w:tcW w:type="dxa" w:w="2400"/>
            <w:tcMar>
              <w:top w:type="dxa" w:w="70"/>
              <w:left w:type="dxa" w:w="100"/>
              <w:bottom w:type="dxa" w:w="70"/>
              <w:right w:type="dxa" w:w="100"/>
            </w:tcMar>
          </w:tcPr>
          <w:p>
            <w:pPr>
              <w:spacing w:after="0" w:line="240"/>
              <w:jc w:val="left"/>
            </w:pPr>
            <w:r>
              <w:rPr>
                <w:rFonts w:ascii="Arial" w:cs="Arial" w:eastAsia="Arial" w:hAnsi="Arial"/>
                <w:color w:val="1B2A3D"/>
                <w:sz w:val="22"/>
                <w:szCs w:val="22"/>
              </w:rPr>
              <w:t xml:space="preserve">Đã thay cho “OECD” để không vấp</w:t>
            </w:r>
          </w:p>
        </w:tc>
      </w:tr>
    </w:tbl>
    <w:p>
      <w:pPr>
        <w:pStyle w:val="Heading1"/>
        <w:spacing w:after="160" w:before="320"/>
      </w:pPr>
      <w:r>
        <w:rPr>
          <w:rFonts w:ascii="Arial" w:cs="Arial" w:eastAsia="Arial" w:hAnsi="Arial"/>
          <w:b/>
          <w:bCs/>
          <w:color w:val="12355B"/>
          <w:sz w:val="30"/>
          <w:szCs w:val="30"/>
        </w:rPr>
        <w:t xml:space="preserve">CAM KẾT ĐỘ CHÍNH XÁC</w:t>
      </w:r>
    </w:p>
    <w:p>
      <w:pPr>
        <w:spacing w:after="120" w:before="0" w:line="360"/>
        <w:jc w:val="left"/>
      </w:pPr>
      <w:r>
        <w:rPr>
          <w:rFonts w:ascii="Arial" w:cs="Arial" w:eastAsia="Arial" w:hAnsi="Arial"/>
          <w:color w:val="1B2A3D"/>
          <w:sz w:val="24"/>
          <w:szCs w:val="24"/>
        </w:rPr>
        <w:t xml:space="preserve">Toàn bộ lời bình được rút trực tiếp từ bản tích hợp bài viết và từ nội dung 10 slide. Cụ thể:</w:t>
      </w:r>
    </w:p>
    <w:p>
      <w:pPr>
        <w:spacing w:after="100" w:before="0" w:line="300"/>
      </w:pPr>
      <w:r>
        <w:rPr>
          <w:rFonts w:ascii="Arial" w:cs="Arial" w:eastAsia="Arial" w:hAnsi="Arial"/>
          <w:b/>
          <w:bCs/>
          <w:color w:val="00A99D"/>
          <w:sz w:val="23"/>
          <w:szCs w:val="23"/>
        </w:rPr>
        <w:t xml:space="preserve">•  </w:t>
      </w:r>
      <w:r>
        <w:rPr>
          <w:rFonts w:ascii="Arial" w:cs="Arial" w:eastAsia="Arial" w:hAnsi="Arial"/>
          <w:color w:val="1B2A3D"/>
          <w:sz w:val="23"/>
          <w:szCs w:val="23"/>
        </w:rPr>
        <w:t xml:space="preserve">Mọi số liệu (2023: hơn 4.500 vụ, hơn 9.370 bị can, tăng 46%; 2024: 6.777 vụ, 11.815 bị can, khởi tố mới 3.496 vụ, 7.354 bị can) giữ nguyên văn bài viết — không làm tròn, không suy diễn, không bổ sung.</w:t>
      </w:r>
    </w:p>
    <w:p>
      <w:pPr>
        <w:spacing w:after="100" w:before="0" w:line="300"/>
      </w:pPr>
      <w:r>
        <w:rPr>
          <w:rFonts w:ascii="Arial" w:cs="Arial" w:eastAsia="Arial" w:hAnsi="Arial"/>
          <w:b/>
          <w:bCs/>
          <w:color w:val="00A99D"/>
          <w:sz w:val="23"/>
          <w:szCs w:val="23"/>
        </w:rPr>
        <w:t xml:space="preserve">•  </w:t>
      </w:r>
      <w:r>
        <w:rPr>
          <w:rFonts w:ascii="Arial" w:cs="Arial" w:eastAsia="Arial" w:hAnsi="Arial"/>
          <w:color w:val="1B2A3D"/>
          <w:sz w:val="23"/>
          <w:szCs w:val="23"/>
        </w:rPr>
        <w:t xml:space="preserve">Tên các đại án, các văn bản pháp luật, các nghiên cứu trích dẫn và năm công bố đều đúng như trong bài viết.</w:t>
      </w:r>
    </w:p>
    <w:p>
      <w:pPr>
        <w:spacing w:after="100" w:before="0" w:line="300"/>
      </w:pPr>
      <w:r>
        <w:rPr>
          <w:rFonts w:ascii="Arial" w:cs="Arial" w:eastAsia="Arial" w:hAnsi="Arial"/>
          <w:b/>
          <w:bCs/>
          <w:color w:val="00A99D"/>
          <w:sz w:val="23"/>
          <w:szCs w:val="23"/>
        </w:rPr>
        <w:t xml:space="preserve">•  </w:t>
      </w:r>
      <w:r>
        <w:rPr>
          <w:rFonts w:ascii="Arial" w:cs="Arial" w:eastAsia="Arial" w:hAnsi="Arial"/>
          <w:color w:val="1B2A3D"/>
          <w:sz w:val="23"/>
          <w:szCs w:val="23"/>
        </w:rPr>
        <w:t xml:space="preserve">Không thêm bất kỳ dữ kiện, số liệu, tên riêng hay nhận định nào không có trong bài viết.</w:t>
      </w:r>
    </w:p>
    <w:p>
      <w:pPr>
        <w:spacing w:after="100" w:before="0" w:line="300"/>
      </w:pPr>
      <w:r>
        <w:rPr>
          <w:rFonts w:ascii="Arial" w:cs="Arial" w:eastAsia="Arial" w:hAnsi="Arial"/>
          <w:b/>
          <w:bCs/>
          <w:color w:val="00A99D"/>
          <w:sz w:val="23"/>
          <w:szCs w:val="23"/>
        </w:rPr>
        <w:t xml:space="preserve">•  </w:t>
      </w:r>
      <w:r>
        <w:rPr>
          <w:rFonts w:ascii="Arial" w:cs="Arial" w:eastAsia="Arial" w:hAnsi="Arial"/>
          <w:color w:val="1B2A3D"/>
          <w:sz w:val="23"/>
          <w:szCs w:val="23"/>
        </w:rPr>
        <w:t xml:space="preserve">Các luận điểm giữ nguyên lập trường của tác giả; lời bình chỉ chuyển từ văn viết sang văn nói.</w:t>
      </w:r>
    </w:p>
    <w:p>
      <w:pPr>
        <w:spacing w:after="100" w:before="0" w:line="300"/>
      </w:pPr>
      <w:r>
        <w:rPr>
          <w:rFonts w:ascii="Arial" w:cs="Arial" w:eastAsia="Arial" w:hAnsi="Arial"/>
          <w:b/>
          <w:bCs/>
          <w:color w:val="00A99D"/>
          <w:sz w:val="23"/>
          <w:szCs w:val="23"/>
        </w:rPr>
        <w:t xml:space="preserve">•  </w:t>
      </w:r>
      <w:r>
        <w:rPr>
          <w:rFonts w:ascii="Arial" w:cs="Arial" w:eastAsia="Arial" w:hAnsi="Arial"/>
          <w:color w:val="1B2A3D"/>
          <w:sz w:val="23"/>
          <w:szCs w:val="23"/>
        </w:rPr>
        <w:t xml:space="preserve">Điểm diễn giải duy nhất: thang điểm 4 trên slide 8 là quy đổi trực quan từ đánh giá định tính của Bảng 2. Lời bình đã nói rõ điều này ở cuối slide 8 — bắt buộc giữ câu đó khi thu âm.</w:t>
      </w:r>
    </w:p>
    <w:p>
      <w:pPr>
        <w:spacing w:after="100" w:before="0" w:line="300"/>
      </w:pPr>
      <w:r>
        <w:rPr>
          <w:rFonts w:ascii="Arial" w:cs="Arial" w:eastAsia="Arial" w:hAnsi="Arial"/>
          <w:b/>
          <w:bCs/>
          <w:color w:val="00A99D"/>
          <w:sz w:val="23"/>
          <w:szCs w:val="23"/>
        </w:rPr>
        <w:t xml:space="preserve">•  </w:t>
      </w:r>
      <w:r>
        <w:rPr>
          <w:rFonts w:ascii="Arial" w:cs="Arial" w:eastAsia="Arial" w:hAnsi="Arial"/>
          <w:color w:val="1B2A3D"/>
          <w:sz w:val="23"/>
          <w:szCs w:val="23"/>
        </w:rPr>
        <w:t xml:space="preserve">Các từ viết tắt khó đọc (UNCAC, UNODC, OECD, TI) đã được thay bằng tên tiếng Việt đầy đủ để giọng đọc không vấp, nhưng không làm sai lệch nội dung.</w:t>
      </w:r>
    </w:p>
    <w:sectPr>
      <w:pgSz w:w="11906" w:h="16838" w:orient="portrait"/>
      <w:pgMar w:top="1150" w:right="100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2026-07-14T06:22:38.776Z</dcterms:created>
  <dcterms:modified xsi:type="dcterms:W3CDTF">2026-07-14T06:22:38.776Z</dcterms:modified>
</cp:coreProperties>
</file>

<file path=docProps/custom.xml><?xml version="1.0" encoding="utf-8"?>
<Properties xmlns="http://schemas.openxmlformats.org/officeDocument/2006/custom-properties" xmlns:vt="http://schemas.openxmlformats.org/officeDocument/2006/docPropsVTypes"/>
</file>