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ab6540c25802cdd2179ba9e0971e50752ab9516"/>
    <w:p>
      <w:pPr>
        <w:pStyle w:val="Heading1"/>
      </w:pPr>
      <w:r>
        <w:t xml:space="preserve">NovaStars MVP Context — Competency Framework (Executive Summary)</w:t>
      </w:r>
    </w:p>
    <w:bookmarkStart w:id="20" w:name="competency-groups"/>
    <w:p>
      <w:pPr>
        <w:pStyle w:val="Heading2"/>
      </w:pPr>
      <w:r>
        <w:t xml:space="preserve">1. Competency Groups</w:t>
      </w:r>
    </w:p>
    <w:p>
      <w:pPr>
        <w:pStyle w:val="FirstParagraph"/>
      </w:pPr>
      <w:r>
        <w:t xml:space="preserve">The NovaStars curriculum is organized into core competency groups:</w:t>
      </w:r>
    </w:p>
    <w:p>
      <w:pPr>
        <w:pStyle w:val="Compact"/>
        <w:numPr>
          <w:ilvl w:val="0"/>
          <w:numId w:val="1001"/>
        </w:numPr>
      </w:pPr>
      <w:r>
        <w:t xml:space="preserve">Communication</w:t>
      </w:r>
    </w:p>
    <w:p>
      <w:pPr>
        <w:pStyle w:val="Compact"/>
        <w:numPr>
          <w:ilvl w:val="0"/>
          <w:numId w:val="1001"/>
        </w:numPr>
      </w:pPr>
      <w:r>
        <w:t xml:space="preserve">Self-Care &amp; Independence</w:t>
      </w:r>
    </w:p>
    <w:p>
      <w:pPr>
        <w:pStyle w:val="Compact"/>
        <w:numPr>
          <w:ilvl w:val="0"/>
          <w:numId w:val="1001"/>
        </w:numPr>
      </w:pPr>
      <w:r>
        <w:t xml:space="preserve">Learning Skills</w:t>
      </w:r>
    </w:p>
    <w:p>
      <w:pPr>
        <w:pStyle w:val="Compact"/>
        <w:numPr>
          <w:ilvl w:val="0"/>
          <w:numId w:val="1001"/>
        </w:numPr>
      </w:pPr>
      <w:r>
        <w:t xml:space="preserve">Safety</w:t>
      </w:r>
    </w:p>
    <w:p>
      <w:pPr>
        <w:pStyle w:val="Compact"/>
        <w:numPr>
          <w:ilvl w:val="0"/>
          <w:numId w:val="1001"/>
        </w:numPr>
      </w:pPr>
      <w:r>
        <w:t xml:space="preserve">Emotional Skills</w:t>
      </w:r>
    </w:p>
    <w:p>
      <w:pPr>
        <w:pStyle w:val="Compact"/>
        <w:numPr>
          <w:ilvl w:val="0"/>
          <w:numId w:val="1001"/>
        </w:numPr>
      </w:pPr>
      <w:r>
        <w:t xml:space="preserve">Problem Solving</w:t>
      </w:r>
    </w:p>
    <w:p>
      <w:pPr>
        <w:pStyle w:val="Compact"/>
        <w:numPr>
          <w:ilvl w:val="0"/>
          <w:numId w:val="1001"/>
        </w:numPr>
      </w:pPr>
      <w:r>
        <w:t xml:space="preserve">Financial Literacy</w:t>
      </w:r>
    </w:p>
    <w:p>
      <w:pPr>
        <w:pStyle w:val="Compact"/>
        <w:numPr>
          <w:ilvl w:val="0"/>
          <w:numId w:val="1001"/>
        </w:numPr>
      </w:pPr>
      <w:r>
        <w:t xml:space="preserve">Social Responsibility</w:t>
      </w:r>
    </w:p>
    <w:p>
      <w:pPr>
        <w:pStyle w:val="Compact"/>
        <w:numPr>
          <w:ilvl w:val="0"/>
          <w:numId w:val="1001"/>
        </w:numPr>
      </w:pPr>
      <w:r>
        <w:t xml:space="preserve">Digital Citizenship</w:t>
      </w:r>
    </w:p>
    <w:p>
      <w:pPr>
        <w:pStyle w:val="FirstParagraph"/>
      </w:pPr>
      <w:r>
        <w:t xml:space="preserve">Each group contains multiple competencies defined in the full Competency Framework.</w:t>
      </w:r>
    </w:p>
    <w:p>
      <w:r>
        <w:pict>
          <v:rect style="width:0;height:1.5pt" o:hralign="center" o:hrstd="t" o:hr="t"/>
        </w:pict>
      </w:r>
    </w:p>
    <w:bookmarkEnd w:id="20"/>
    <w:bookmarkStart w:id="21" w:name="competency-structure"/>
    <w:p>
      <w:pPr>
        <w:pStyle w:val="Heading2"/>
      </w:pPr>
      <w:r>
        <w:t xml:space="preserve">2. Competency Structure</w:t>
      </w:r>
    </w:p>
    <w:p>
      <w:pPr>
        <w:pStyle w:val="FirstParagraph"/>
      </w:pPr>
      <w:r>
        <w:t xml:space="preserve">Competency Group</w:t>
      </w:r>
      <w:r>
        <w:t xml:space="preserve"> </w:t>
      </w:r>
      <w:r>
        <w:t xml:space="preserve">→ Competency</w:t>
      </w:r>
      <w:r>
        <w:t xml:space="preserve"> </w:t>
      </w:r>
      <w:r>
        <w:t xml:space="preserve">→ Learning Experience</w:t>
      </w:r>
      <w:r>
        <w:t xml:space="preserve"> </w:t>
      </w:r>
      <w:r>
        <w:t xml:space="preserve">→ Story</w:t>
      </w:r>
      <w:r>
        <w:t xml:space="preserve"> </w:t>
      </w:r>
      <w:r>
        <w:t xml:space="preserve">→ Mini Games</w:t>
      </w:r>
      <w:r>
        <w:t xml:space="preserve"> </w:t>
      </w:r>
      <w:r>
        <w:t xml:space="preserve">→ Boss Battle</w:t>
      </w:r>
      <w:r>
        <w:t xml:space="preserve"> </w:t>
      </w:r>
      <w:r>
        <w:t xml:space="preserve">→ Reflection</w:t>
      </w:r>
      <w:r>
        <w:t xml:space="preserve"> </w:t>
      </w:r>
      <w:r>
        <w:t xml:space="preserve">→ Real-life Challenge</w:t>
      </w:r>
      <w:r>
        <w:t xml:space="preserve"> </w:t>
      </w:r>
      <w:r>
        <w:t xml:space="preserve">→ Post-test</w:t>
      </w:r>
      <w:r>
        <w:t xml:space="preserve"> </w:t>
      </w:r>
      <w:r>
        <w:t xml:space="preserve">→ Competency Mastery</w:t>
      </w:r>
    </w:p>
    <w:p>
      <w:r>
        <w:pict>
          <v:rect style="width:0;height:1.5pt" o:hralign="center" o:hrstd="t" o:hr="t"/>
        </w:pict>
      </w:r>
    </w:p>
    <w:bookmarkEnd w:id="21"/>
    <w:bookmarkStart w:id="22" w:name="competency-package-standard"/>
    <w:p>
      <w:pPr>
        <w:pStyle w:val="Heading2"/>
      </w:pPr>
      <w:r>
        <w:t xml:space="preserve">3. Competency Package (Standard)</w:t>
      </w:r>
    </w:p>
    <w:p>
      <w:pPr>
        <w:pStyle w:val="FirstParagraph"/>
      </w:pPr>
      <w:r>
        <w:t xml:space="preserve">Every competency follows one standard package:</w:t>
      </w:r>
    </w:p>
    <w:p>
      <w:pPr>
        <w:pStyle w:val="Compact"/>
        <w:numPr>
          <w:ilvl w:val="0"/>
          <w:numId w:val="1002"/>
        </w:numPr>
      </w:pPr>
      <w:r>
        <w:t xml:space="preserve">Competency Name</w:t>
      </w:r>
    </w:p>
    <w:p>
      <w:pPr>
        <w:pStyle w:val="Compact"/>
        <w:numPr>
          <w:ilvl w:val="0"/>
          <w:numId w:val="1002"/>
        </w:numPr>
      </w:pPr>
      <w:r>
        <w:t xml:space="preserve">Competency Group</w:t>
      </w:r>
    </w:p>
    <w:p>
      <w:pPr>
        <w:pStyle w:val="Compact"/>
        <w:numPr>
          <w:ilvl w:val="0"/>
          <w:numId w:val="1002"/>
        </w:numPr>
      </w:pPr>
      <w:r>
        <w:t xml:space="preserve">Competency Description</w:t>
      </w:r>
    </w:p>
    <w:p>
      <w:pPr>
        <w:pStyle w:val="Compact"/>
        <w:numPr>
          <w:ilvl w:val="0"/>
          <w:numId w:val="1002"/>
        </w:numPr>
      </w:pPr>
      <w:r>
        <w:t xml:space="preserve">Learning Objective</w:t>
      </w:r>
    </w:p>
    <w:p>
      <w:pPr>
        <w:pStyle w:val="Compact"/>
        <w:numPr>
          <w:ilvl w:val="0"/>
          <w:numId w:val="1002"/>
        </w:numPr>
      </w:pPr>
      <w:r>
        <w:t xml:space="preserve">Behavior Objective</w:t>
      </w:r>
    </w:p>
    <w:p>
      <w:pPr>
        <w:pStyle w:val="Compact"/>
        <w:numPr>
          <w:ilvl w:val="0"/>
          <w:numId w:val="1002"/>
        </w:numPr>
      </w:pPr>
      <w:r>
        <w:t xml:space="preserve">Story Scenario</w:t>
      </w:r>
    </w:p>
    <w:p>
      <w:pPr>
        <w:pStyle w:val="Compact"/>
        <w:numPr>
          <w:ilvl w:val="0"/>
          <w:numId w:val="1002"/>
        </w:numPr>
      </w:pPr>
      <w:r>
        <w:t xml:space="preserve">Mini Games</w:t>
      </w:r>
    </w:p>
    <w:p>
      <w:pPr>
        <w:pStyle w:val="Compact"/>
        <w:numPr>
          <w:ilvl w:val="0"/>
          <w:numId w:val="1002"/>
        </w:numPr>
      </w:pPr>
      <w:r>
        <w:t xml:space="preserve">Boss Battle</w:t>
      </w:r>
    </w:p>
    <w:p>
      <w:pPr>
        <w:pStyle w:val="Compact"/>
        <w:numPr>
          <w:ilvl w:val="0"/>
          <w:numId w:val="1002"/>
        </w:numPr>
      </w:pPr>
      <w:r>
        <w:t xml:space="preserve">Reflection</w:t>
      </w:r>
    </w:p>
    <w:p>
      <w:pPr>
        <w:pStyle w:val="Compact"/>
        <w:numPr>
          <w:ilvl w:val="0"/>
          <w:numId w:val="1002"/>
        </w:numPr>
      </w:pPr>
      <w:r>
        <w:t xml:space="preserve">Real-life Challenge</w:t>
      </w:r>
    </w:p>
    <w:p>
      <w:pPr>
        <w:pStyle w:val="Compact"/>
        <w:numPr>
          <w:ilvl w:val="0"/>
          <w:numId w:val="1002"/>
        </w:numPr>
      </w:pPr>
      <w:r>
        <w:t xml:space="preserve">Parent Verification</w:t>
      </w:r>
    </w:p>
    <w:p>
      <w:pPr>
        <w:pStyle w:val="Compact"/>
        <w:numPr>
          <w:ilvl w:val="0"/>
          <w:numId w:val="1002"/>
        </w:numPr>
      </w:pPr>
      <w:r>
        <w:t xml:space="preserve">Post-test</w:t>
      </w:r>
    </w:p>
    <w:p>
      <w:pPr>
        <w:pStyle w:val="Compact"/>
        <w:numPr>
          <w:ilvl w:val="0"/>
          <w:numId w:val="1002"/>
        </w:numPr>
      </w:pPr>
      <w:r>
        <w:t xml:space="preserve">Mastery Criteria</w:t>
      </w:r>
    </w:p>
    <w:p>
      <w:r>
        <w:pict>
          <v:rect style="width:0;height:1.5pt" o:hralign="center" o:hrstd="t" o:hr="t"/>
        </w:pict>
      </w:r>
    </w:p>
    <w:bookmarkEnd w:id="22"/>
    <w:bookmarkStart w:id="23" w:name="learning-objective"/>
    <w:p>
      <w:pPr>
        <w:pStyle w:val="Heading2"/>
      </w:pPr>
      <w:r>
        <w:t xml:space="preserve">4. Learning Objective</w:t>
      </w:r>
    </w:p>
    <w:p>
      <w:pPr>
        <w:pStyle w:val="FirstParagraph"/>
      </w:pPr>
      <w:r>
        <w:t xml:space="preserve">Every competency defines what the learner should know, understand and be able to do after completing the lesson.</w:t>
      </w:r>
    </w:p>
    <w:p>
      <w:pPr>
        <w:pStyle w:val="BodyText"/>
      </w:pPr>
      <w:r>
        <w:t xml:space="preserve">Characteristics:</w:t>
      </w:r>
    </w:p>
    <w:p>
      <w:pPr>
        <w:pStyle w:val="Compact"/>
        <w:numPr>
          <w:ilvl w:val="0"/>
          <w:numId w:val="1003"/>
        </w:numPr>
      </w:pPr>
      <w:r>
        <w:t xml:space="preserve">Observable</w:t>
      </w:r>
    </w:p>
    <w:p>
      <w:pPr>
        <w:pStyle w:val="Compact"/>
        <w:numPr>
          <w:ilvl w:val="0"/>
          <w:numId w:val="1003"/>
        </w:numPr>
      </w:pPr>
      <w:r>
        <w:t xml:space="preserve">Measurable</w:t>
      </w:r>
    </w:p>
    <w:p>
      <w:pPr>
        <w:pStyle w:val="Compact"/>
        <w:numPr>
          <w:ilvl w:val="0"/>
          <w:numId w:val="1003"/>
        </w:numPr>
      </w:pPr>
      <w:r>
        <w:t xml:space="preserve">Competency-based</w:t>
      </w:r>
    </w:p>
    <w:p>
      <w:pPr>
        <w:pStyle w:val="Compact"/>
        <w:numPr>
          <w:ilvl w:val="0"/>
          <w:numId w:val="1003"/>
        </w:numPr>
      </w:pPr>
      <w:r>
        <w:t xml:space="preserve">Independent</w:t>
      </w:r>
    </w:p>
    <w:p>
      <w:pPr>
        <w:pStyle w:val="Compact"/>
        <w:numPr>
          <w:ilvl w:val="0"/>
          <w:numId w:val="1003"/>
        </w:numPr>
      </w:pPr>
      <w:r>
        <w:t xml:space="preserve">Achievable in one learning experience</w:t>
      </w:r>
    </w:p>
    <w:p>
      <w:r>
        <w:pict>
          <v:rect style="width:0;height:1.5pt" o:hralign="center" o:hrstd="t" o:hr="t"/>
        </w:pict>
      </w:r>
    </w:p>
    <w:bookmarkEnd w:id="23"/>
    <w:bookmarkStart w:id="24" w:name="behavior-objective"/>
    <w:p>
      <w:pPr>
        <w:pStyle w:val="Heading2"/>
      </w:pPr>
      <w:r>
        <w:t xml:space="preserve">5. Behavior Objective</w:t>
      </w:r>
    </w:p>
    <w:p>
      <w:pPr>
        <w:pStyle w:val="FirstParagraph"/>
      </w:pPr>
      <w:r>
        <w:t xml:space="preserve">Every competency must define one or more observable real-life behaviors.</w:t>
      </w:r>
    </w:p>
    <w:p>
      <w:pPr>
        <w:pStyle w:val="BodyText"/>
      </w:pPr>
      <w:r>
        <w:t xml:space="preserve">Behavior objectives must:</w:t>
      </w:r>
    </w:p>
    <w:p>
      <w:pPr>
        <w:pStyle w:val="Compact"/>
        <w:numPr>
          <w:ilvl w:val="0"/>
          <w:numId w:val="1004"/>
        </w:numPr>
      </w:pPr>
      <w:r>
        <w:t xml:space="preserve">Be observable</w:t>
      </w:r>
    </w:p>
    <w:p>
      <w:pPr>
        <w:pStyle w:val="Compact"/>
        <w:numPr>
          <w:ilvl w:val="0"/>
          <w:numId w:val="1004"/>
        </w:numPr>
      </w:pPr>
      <w:r>
        <w:t xml:space="preserve">Be measurable</w:t>
      </w:r>
    </w:p>
    <w:p>
      <w:pPr>
        <w:pStyle w:val="Compact"/>
        <w:numPr>
          <w:ilvl w:val="0"/>
          <w:numId w:val="1004"/>
        </w:numPr>
      </w:pPr>
      <w:r>
        <w:t xml:space="preserve">Be executable in daily life</w:t>
      </w:r>
    </w:p>
    <w:p>
      <w:pPr>
        <w:pStyle w:val="Compact"/>
        <w:numPr>
          <w:ilvl w:val="0"/>
          <w:numId w:val="1004"/>
        </w:numPr>
      </w:pPr>
      <w:r>
        <w:t xml:space="preserve">Be verifiable by parents</w:t>
      </w:r>
    </w:p>
    <w:p>
      <w:pPr>
        <w:pStyle w:val="Compact"/>
        <w:numPr>
          <w:ilvl w:val="0"/>
          <w:numId w:val="1004"/>
        </w:numPr>
      </w:pPr>
      <w:r>
        <w:t xml:space="preserve">Demonstrate competency transfer outside the app</w:t>
      </w:r>
    </w:p>
    <w:p>
      <w:pPr>
        <w:pStyle w:val="FirstParagraph"/>
      </w:pPr>
      <w:r>
        <w:t xml:space="preserve">Competency is considered achieved only when the expected behavior is demonstrated consistently.</w:t>
      </w:r>
    </w:p>
    <w:p>
      <w:r>
        <w:pict>
          <v:rect style="width:0;height:1.5pt" o:hralign="center" o:hrstd="t" o:hr="t"/>
        </w:pict>
      </w:r>
    </w:p>
    <w:bookmarkEnd w:id="24"/>
    <w:bookmarkStart w:id="25" w:name="design-principles"/>
    <w:p>
      <w:pPr>
        <w:pStyle w:val="Heading2"/>
      </w:pPr>
      <w:r>
        <w:t xml:space="preserve">Design Principles</w:t>
      </w:r>
    </w:p>
    <w:p>
      <w:pPr>
        <w:pStyle w:val="Compact"/>
        <w:numPr>
          <w:ilvl w:val="0"/>
          <w:numId w:val="1005"/>
        </w:numPr>
      </w:pPr>
      <w:r>
        <w:t xml:space="preserve">Competency First</w:t>
      </w:r>
    </w:p>
    <w:p>
      <w:pPr>
        <w:pStyle w:val="Compact"/>
        <w:numPr>
          <w:ilvl w:val="0"/>
          <w:numId w:val="1005"/>
        </w:numPr>
      </w:pPr>
      <w:r>
        <w:t xml:space="preserve">One Lesson = One Competency</w:t>
      </w:r>
    </w:p>
    <w:p>
      <w:pPr>
        <w:pStyle w:val="Compact"/>
        <w:numPr>
          <w:ilvl w:val="0"/>
          <w:numId w:val="1005"/>
        </w:numPr>
      </w:pPr>
      <w:r>
        <w:t xml:space="preserve">One Competency = One Behavior Change</w:t>
      </w:r>
    </w:p>
    <w:p>
      <w:pPr>
        <w:pStyle w:val="Compact"/>
        <w:numPr>
          <w:ilvl w:val="0"/>
          <w:numId w:val="1005"/>
        </w:numPr>
      </w:pPr>
      <w:r>
        <w:t xml:space="preserve">Learning exists to change behavior</w:t>
      </w:r>
    </w:p>
    <w:p>
      <w:pPr>
        <w:pStyle w:val="Compact"/>
        <w:numPr>
          <w:ilvl w:val="0"/>
          <w:numId w:val="1005"/>
        </w:numPr>
      </w:pPr>
      <w:r>
        <w:t xml:space="preserve">Assessment measures competency, not memorization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2026-08-05T03:37:43Z</dcterms:created>
  <dcterms:modified xsi:type="dcterms:W3CDTF">2026-08-05T03:37:43Z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