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PHƯƠNG ÁN NĂNG LỰC HÀNG NẶNG ≥10KG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VÙNG NAM TRUNG BỘ (NTB) — KẾ HOẠCH H2/2026 (T7–T12)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Ngày lập: 29/06/2026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TỔNG QUAN VÙNG NTB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Vùng NTB gồm 5 tỉnh: Khánh Hòa, Lâm Đồng, Đắk Nông, Ninh Thuận và Bình Thuận với 81 bưu cục. Kế hoạch AOP H2/2026 tập trung chuẩn bị năng lực giao hàng cồng kềnh ≥10kg gồm xe – người – kho.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Sản lượng ≥10kg theo tháng (đơn/tháng)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1100"/>
        <w:gridCol w:w="1013"/>
        <w:gridCol w:w="1013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T7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T8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T9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T10</w:t>
            </w:r>
          </w:p>
        </w:tc>
        <w:tc>
          <w:tcPr>
            <w:tcW w:type="dxa" w:w="1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T11</w:t>
            </w:r>
          </w:p>
        </w:tc>
        <w:tc>
          <w:tcPr>
            <w:tcW w:type="dxa" w:w="1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Tổng ≥10kg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198.219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196.204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204.379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225.298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234.987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261.430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Hàng vừa (10-15kg) → van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129.641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121.584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126.699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138.871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145.401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162.376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Hàng nặng (≥15kg) → GXT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68.578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74.620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77.680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86.427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89.586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99.054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B2B (đã tách M4)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61.655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67.282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70.187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78.558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81.296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88.895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Thông số đầu vào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/ Ghi chú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Hệ số ngày cao điểm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Tính từ data AOP.xlsx T1–T6/2026 (loại Tết, lễ 30/4)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Năng suất GTC/chuyến thường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 đơn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GXT NTB T4–T5/2026 (1.952 chuyến)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Năng suất GTC/chuyến cao điểm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đơn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GXT NTB T4–T5/2026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GTC bình quân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thực vùng NTB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Số ngày làm việc/tháng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ngày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từ nhân viên NTB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 phí xe/ngày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1.200.000đ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giá NCC xe NTB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Đơn giá thuê m²/tháng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120.000đ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Giá thị trường địa phương NTB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Lương BQ nhân sự xử lý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15.000.000đ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từ HR vùng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Năng suất người van/ngày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Không sử dụng xe Van (NTB giao xe máy chặng chót)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Lương BQ người van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0đ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Không sử dụng xe Van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Mật độ lưu trữ hàng nặng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Không sử dụng xe Van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Ngưỡng mở BCCK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đơn/ngày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chỉ đạo công ty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II. PHÂN LOẠI BƯU CỤC (A/B/C)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81 bưu cục NTB được phân loại theo mức độ GXT tham gia dựa trên cấu hình PSBBA: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BC NTB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xử lý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lo 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BC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tính thêm — GXT lo toàn bộ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lo x%, BC lo phần còn lại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BC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Tính năng lực cho phần % BC giao (30%)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tự lo toàn bộ ≥15kg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BC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Tính đầy đủ xe/người/kho cho BC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t>• 4 BC đủ ngưỡng ≥200 đơn/ngày T12 → mở BCCK riêng</w:t>
      </w:r>
    </w:p>
    <w:p>
      <w:pPr>
        <w:spacing w:after="80" w:before="80"/>
      </w:pPr>
      <w:r>
        <w:t>• 77 BC không đủ → gộp về BCCK gần nhất hoặc giao theo phương án thay thế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III. KẾ HOẠCH MẶT BẰNG — BCCK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Dựa trên ngưỡng ≥200 đơn ≥10kg/ngày (T12), NTB đề xuất mở 4 BCCK: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300"/>
        <w:gridCol w:w="1300"/>
        <w:gridCol w:w="1726"/>
        <w:gridCol w:w="1500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BCCK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Vol/ngày T12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cần (m²)</w:t>
            </w:r>
          </w:p>
        </w:tc>
        <w:tc>
          <w:tcPr>
            <w:tcW w:type="dxa" w:w="17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thuê/tháng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NV Giao hàng</w:t>
              <w:br/>
              <w:t>(Shipper)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NV Xử lý kho</w:t>
              <w:br/>
              <w:t>(Bốc xếp)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NV Quản lý</w:t>
              <w:br/>
              <w:t>(Điều phối)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Tổng nhân sự</w:t>
              <w:br/>
              <w:t>/ BC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BCCK Nha Trang (gộp 4 BC Nha Trang)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50.520.000đ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Mở mới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BCCK Di Linh (gộp BC Di Linh–Ninh Hòa–Hòa Ninh)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244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29.280.000đ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Mở mới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BCCK Đơn Dương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85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10.200.000đ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Mở mới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BCCK Đức Linh – Bình Thuận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6.500.000đ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Mở mới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Diện tích cần = Vol/ngày ÷ 3.3 đơn/m². Giá thuê = DT cần × 120.000đ/m².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IV. KẾ HOẠCH NGUỒN LỰC &amp; CHI PHÍ (CHIỀU GIAO)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1100"/>
        <w:gridCol w:w="1013"/>
        <w:gridCol w:w="1013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Chỉ tiêu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T7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T8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T9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T10</w:t>
            </w:r>
          </w:p>
        </w:tc>
        <w:tc>
          <w:tcPr>
            <w:tcW w:type="dxa" w:w="1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T11</w:t>
            </w:r>
          </w:p>
        </w:tc>
        <w:tc>
          <w:tcPr>
            <w:tcW w:type="dxa" w:w="10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  <w:t>HÀNG NẶNG (GXT / đội tải)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Xe BQ/ngày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51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Người giao (tài xế+phụ)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102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Mặt bằng hàng nặng (m²)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754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785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874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905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  <w:t>HÀNG VỪA (BCCK van)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Người van cần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Mặt bằng hàng vừa (m²)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  <w:t>CHI PHÍ (đ/tháng)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fill="E6E6E6"/>
          </w:tcPr>
          <w:p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Chi phí xe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1.404tr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1.548tr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1.620tr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1.800tr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1.836tr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2.052tr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Chi phí người van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Chi phí thuê mặt bằng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83tr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90tr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94tr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105tr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109tr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120tr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Chi phí NV xử lý kho (4 người)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Chi phí NV giao hàng (38 người)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sz w:val="19"/>
              </w:rPr>
              <w:t>570tr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hAnsi="Arial"/>
                <w:sz w:val="19"/>
              </w:rPr>
              <w:t>Chi phí NV quản lý (4 người)</w:t>
            </w:r>
          </w:p>
        </w:tc>
        <w:tc>
          <w:tcPr>
            <w:tcW w:type="dxa" w:w="1100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100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013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  <w:tc>
          <w:tcPr>
            <w:tcW w:type="dxa" w:w="1013"/>
          </w:tcPr>
          <w:p>
            <w:r>
              <w:rPr>
                <w:rFonts w:ascii="Arial" w:hAnsi="Arial"/>
                <w:sz w:val="19"/>
              </w:rPr>
              <w:t>60tr</w:t>
            </w:r>
          </w:p>
        </w:tc>
      </w:tr>
      <w:tr>
        <w:tc>
          <w:tcPr>
            <w:tcW w:type="dxa" w:w="2500"/>
            <w:shd w:fill="D9E1F2"/>
          </w:tcPr>
          <w:p>
            <w:r>
              <w:rPr>
                <w:rFonts w:ascii="Arial" w:hAnsi="Arial"/>
                <w:b/>
                <w:sz w:val="19"/>
              </w:rPr>
              <w:t>TỔNG CHI PHÍ</w:t>
            </w:r>
          </w:p>
        </w:tc>
        <w:tc>
          <w:tcPr>
            <w:tcW w:type="dxa" w:w="1100"/>
            <w:shd w:fill="D9E1F2"/>
          </w:tcPr>
          <w:p>
            <w:r>
              <w:rPr>
                <w:rFonts w:ascii="Arial" w:hAnsi="Arial"/>
                <w:b/>
                <w:sz w:val="19"/>
              </w:rPr>
              <w:t>2.177tr</w:t>
            </w:r>
          </w:p>
        </w:tc>
        <w:tc>
          <w:tcPr>
            <w:tcW w:type="dxa" w:w="1100"/>
            <w:shd w:fill="D9E1F2"/>
          </w:tcPr>
          <w:p>
            <w:r>
              <w:rPr>
                <w:rFonts w:ascii="Arial" w:hAnsi="Arial"/>
                <w:b/>
                <w:sz w:val="19"/>
              </w:rPr>
              <w:t>2.328tr</w:t>
            </w:r>
          </w:p>
        </w:tc>
        <w:tc>
          <w:tcPr>
            <w:tcW w:type="dxa" w:w="1100"/>
            <w:shd w:fill="D9E1F2"/>
          </w:tcPr>
          <w:p>
            <w:r>
              <w:rPr>
                <w:rFonts w:ascii="Arial" w:hAnsi="Arial"/>
                <w:b/>
                <w:sz w:val="19"/>
              </w:rPr>
              <w:t>2.404tr</w:t>
            </w:r>
          </w:p>
        </w:tc>
        <w:tc>
          <w:tcPr>
            <w:tcW w:type="dxa" w:w="1100"/>
            <w:shd w:fill="D9E1F2"/>
          </w:tcPr>
          <w:p>
            <w:r>
              <w:rPr>
                <w:rFonts w:ascii="Arial" w:hAnsi="Arial"/>
                <w:b/>
                <w:sz w:val="19"/>
              </w:rPr>
              <w:t>2.595tr</w:t>
            </w:r>
          </w:p>
        </w:tc>
        <w:tc>
          <w:tcPr>
            <w:tcW w:type="dxa" w:w="1013"/>
            <w:shd w:fill="D9E1F2"/>
          </w:tcPr>
          <w:p>
            <w:r>
              <w:rPr>
                <w:rFonts w:ascii="Arial" w:hAnsi="Arial"/>
                <w:b/>
                <w:sz w:val="19"/>
              </w:rPr>
              <w:t>2.635tr</w:t>
            </w:r>
          </w:p>
        </w:tc>
        <w:tc>
          <w:tcPr>
            <w:tcW w:type="dxa" w:w="1013"/>
            <w:shd w:fill="D9E1F2"/>
          </w:tcPr>
          <w:p>
            <w:r>
              <w:rPr>
                <w:rFonts w:ascii="Arial" w:hAnsi="Arial"/>
                <w:b/>
                <w:sz w:val="19"/>
              </w:rPr>
              <w:t>2.862tr</w:t>
            </w:r>
          </w:p>
        </w:tc>
      </w:tr>
      <w:tr>
        <w:tc>
          <w:tcPr>
            <w:tcW w:type="dxa" w:w="2500"/>
            <w:shd w:fill="E2EFDA"/>
          </w:tcPr>
          <w:p>
            <w:r>
              <w:rPr>
                <w:rFonts w:ascii="Arial" w:hAnsi="Arial"/>
                <w:b/>
                <w:sz w:val="19"/>
              </w:rPr>
              <w:t>Chi phí/đơn (đ)</w:t>
            </w:r>
          </w:p>
        </w:tc>
        <w:tc>
          <w:tcPr>
            <w:tcW w:type="dxa" w:w="1100"/>
            <w:shd w:fill="E2EFDA"/>
          </w:tcPr>
          <w:p>
            <w:r>
              <w:rPr>
                <w:rFonts w:ascii="Arial" w:hAnsi="Arial"/>
                <w:b/>
                <w:sz w:val="19"/>
              </w:rPr>
              <w:t>10.984</w:t>
            </w:r>
          </w:p>
        </w:tc>
        <w:tc>
          <w:tcPr>
            <w:tcW w:type="dxa" w:w="1100"/>
            <w:shd w:fill="E2EFDA"/>
          </w:tcPr>
          <w:p>
            <w:r>
              <w:rPr>
                <w:rFonts w:ascii="Arial" w:hAnsi="Arial"/>
                <w:b/>
                <w:sz w:val="19"/>
              </w:rPr>
              <w:t>11.868</w:t>
            </w:r>
          </w:p>
        </w:tc>
        <w:tc>
          <w:tcPr>
            <w:tcW w:type="dxa" w:w="1100"/>
            <w:shd w:fill="E2EFDA"/>
          </w:tcPr>
          <w:p>
            <w:r>
              <w:rPr>
                <w:rFonts w:ascii="Arial" w:hAnsi="Arial"/>
                <w:b/>
                <w:sz w:val="19"/>
              </w:rPr>
              <w:t>11.763</w:t>
            </w:r>
          </w:p>
        </w:tc>
        <w:tc>
          <w:tcPr>
            <w:tcW w:type="dxa" w:w="1100"/>
            <w:shd w:fill="E2EFDA"/>
          </w:tcPr>
          <w:p>
            <w:r>
              <w:rPr>
                <w:rFonts w:ascii="Arial" w:hAnsi="Arial"/>
                <w:b/>
                <w:sz w:val="19"/>
              </w:rPr>
              <w:t>11.518</w:t>
            </w:r>
          </w:p>
        </w:tc>
        <w:tc>
          <w:tcPr>
            <w:tcW w:type="dxa" w:w="1013"/>
            <w:shd w:fill="E2EFDA"/>
          </w:tcPr>
          <w:p>
            <w:r>
              <w:rPr>
                <w:rFonts w:ascii="Arial" w:hAnsi="Arial"/>
                <w:b/>
                <w:sz w:val="19"/>
              </w:rPr>
              <w:t>11.212</w:t>
            </w:r>
          </w:p>
        </w:tc>
        <w:tc>
          <w:tcPr>
            <w:tcW w:type="dxa" w:w="1013"/>
            <w:shd w:fill="E2EFDA"/>
          </w:tcPr>
          <w:p>
            <w:r>
              <w:rPr>
                <w:rFonts w:ascii="Arial" w:hAnsi="Arial"/>
                <w:b/>
                <w:sz w:val="19"/>
              </w:rPr>
              <w:t>10.948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V. TIMELINE TIẾP NHẬN TỪ GXT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14 phường nhóm B (GXT lo 70%, BC vùng lo 30%) tại TP. Nha Trang — Khánh Hòa. Mốc tiếp nhận cụ thể sẽ cập nhật sau khi phối hợp đội GXT NTB.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Phường/Xã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 dự kiến tiếp nhận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vùng lo/tháng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Tân Lập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229 Phước Long - Nam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644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Phước Hòa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229 Phước Long - Nam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644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Phước 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229 Phước Long - Nam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592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Vĩnh Nguyên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229 Phước Long - Nam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592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Xã Vĩnh Hiệp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195 Đường 2/4 -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547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Ngọc Hiệp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195 Đường 2/4 -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547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Xã Vĩnh Thạnh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195 Đường 2/4 -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530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Phước Hải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40A Yết Kiêu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437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Xã Vĩnh Thái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40A Yết Kiêu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437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Vĩnh Hải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06 Lê Hồng Phong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418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Vĩnh Hòa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06 Lê Hồng Phong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418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Phường Vĩnh Phước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06 Lê Hồng Phong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418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Xã Vĩnh Lương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06 Lê Hồng Phong -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418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Xã Phước Đồng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229 Phước Long - Nam 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299 đơn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GXT 70%, BC 30%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VI. RỦI RO &amp; BIỆN PHÁP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Biện pháp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Năng suất xe/người thấp hơn mẫu HCM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thực tế T7, điều chỉnh từ T8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Mật độ lưu trữ không đạt 3.3 đơn/m²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Hỏi đội kho GXT NTB để xác nhận thực tế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BCCK mở chậm tiến độ T7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Chuẩn bị mặt bằng trước ≥30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 chưa triển khai NTB — dùng mẫu HCM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số thực khi BCCK triển khai thực tế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 phí T12 tăng 39% so với T7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 tăng tương ứng — monitor chi phí/đơn hàng tháng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VII. GHI CHÚ &amp; CƠ SỞ SỐ LIỆU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Số đã xác nhận từ data/thực tế NTB: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số cao điểm 1.4 — tính từ data AOP.xlsx T1–T6/2026 (loại T2 Tết + T5 lễ 30/4)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Năng suất GTC/chuyến 47/64 đơn — data báo cáo GXT NTB T4–T5/2026 (1.952 chuyến)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GTC bình quân 80% — tính từ data GXT NTB T4–T5/2026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 phí xe 1.200.000đ/ngày — bảng giá NCC Mạnh Cường, xe 1.9T tại NTB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Đơn giá thuê 120.000đ/m²/tháng — xác nhận từ thị trường địa phương NTB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Lương nhân sự xử lý 15.000.000đ — xác nhận từ HR vùng (range 12–18tr)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Số ngày làm việc 30 ngày — xác nhận từ nhân viên vùng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Số tạm dùng mẫu GXT HCM (cần xác nhận khi triển khai thực tế):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Năng suất người van: 50 đơn/người/ngày — NTB chưa có đội van riêng cho hàng cồng kềnh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Lương người van: 11.000.000đ/tháng — NTB chưa có đội van riêng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Mật độ lưu trữ hàng nặng: 3.3 đơn/m² — chờ xác nhận từ đội kho GXT NTB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Mật độ lưu trữ hàng vừa: 5.0 đơn/m² — chờ xác nhận khi BCCK triển khai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2026-06-29T05:18:50.188Z</dcterms:created>
  <dcterms:modified xsi:type="dcterms:W3CDTF">2026-06-29T05:18:50.200Z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