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Arial" w:hAnsi="Arial"/>
          <w:b/>
          <w:i w:val="0"/>
          <w:color w:val="F26522"/>
          <w:sz w:val="36"/>
        </w:rPr>
        <w:t>[HCM] AOP_Hang_&gt;5Kg_T7-T12_2026</w:t>
      </w:r>
    </w:p>
    <w:p>
      <w:pPr>
        <w:spacing w:before="0" w:after="120"/>
      </w:pPr>
      <w:r>
        <w:rPr>
          <w:rFonts w:ascii="Arial" w:hAnsi="Arial"/>
          <w:b/>
          <w:i w:val="0"/>
          <w:color w:val="2C3E50"/>
          <w:sz w:val="22"/>
        </w:rPr>
        <w:t>GHN — VÙNG Hồ Chí Minh (HCM)</w:t>
      </w:r>
    </w:p>
    <w:p>
      <w:pPr>
        <w:spacing w:before="0" w:after="120"/>
      </w:pPr>
      <w:r>
        <w:rPr>
          <w:rFonts w:ascii="Arial" w:hAnsi="Arial"/>
          <w:b/>
          <w:i w:val="0"/>
          <w:color w:val="2C3E50"/>
          <w:sz w:val="22"/>
        </w:rPr>
        <w:t>AOP T7–T12 HÀNG CỒNG KỀNH ≥ 5kg (Tháng 7 – Tháng 12)</w:t>
      </w:r>
    </w:p>
    <w:p>
      <w:pPr>
        <w:pStyle w:val="ListBullet"/>
        <w:spacing w:before="0" w:after="60"/>
      </w:pPr>
      <w:r>
        <w:rPr>
          <w:rFonts w:ascii="Arial" w:hAnsi="Arial"/>
          <w:b/>
          <w:i w:val="0"/>
          <w:color w:val="2C3E50"/>
          <w:sz w:val="22"/>
        </w:rPr>
        <w:t>Vùng:</w:t>
      </w:r>
      <w:r>
        <w:rPr>
          <w:rFonts w:ascii="Arial" w:hAnsi="Arial"/>
          <w:b w:val="0"/>
          <w:i w:val="0"/>
          <w:color w:val="2C3E50"/>
          <w:sz w:val="22"/>
        </w:rPr>
        <w:t xml:space="preserve"> HCM</w:t>
      </w:r>
    </w:p>
    <w:p>
      <w:pPr>
        <w:pStyle w:val="ListBullet"/>
        <w:spacing w:before="0" w:after="60"/>
      </w:pPr>
      <w:r>
        <w:rPr>
          <w:rFonts w:ascii="Arial" w:hAnsi="Arial"/>
          <w:b/>
          <w:i w:val="0"/>
          <w:color w:val="2C3E50"/>
          <w:sz w:val="22"/>
        </w:rPr>
        <w:t>Giám đốc Vùng (GĐV):</w:t>
      </w:r>
      <w:r>
        <w:rPr>
          <w:rFonts w:ascii="Arial" w:hAnsi="Arial"/>
          <w:b w:val="0"/>
          <w:i w:val="0"/>
          <w:color w:val="2C3E50"/>
          <w:sz w:val="22"/>
        </w:rPr>
        <w:t xml:space="preserve"> Nguyễn Văn Tân</w:t>
      </w:r>
    </w:p>
    <w:p>
      <w:pPr>
        <w:pStyle w:val="ListBullet"/>
        <w:spacing w:before="0" w:after="60"/>
      </w:pPr>
      <w:r>
        <w:rPr>
          <w:rFonts w:ascii="Arial" w:hAnsi="Arial"/>
          <w:b/>
          <w:i w:val="0"/>
          <w:color w:val="2C3E50"/>
          <w:sz w:val="22"/>
        </w:rPr>
        <w:t>Người lập:</w:t>
      </w:r>
      <w:r>
        <w:rPr>
          <w:rFonts w:ascii="Arial" w:hAnsi="Arial"/>
          <w:b w:val="0"/>
          <w:i w:val="0"/>
          <w:color w:val="2C3E50"/>
          <w:sz w:val="22"/>
        </w:rPr>
        <w:t xml:space="preserve"> Nguyễn Văn Tân</w:t>
      </w:r>
    </w:p>
    <w:p>
      <w:pPr>
        <w:pStyle w:val="ListBullet"/>
        <w:spacing w:before="0" w:after="60"/>
      </w:pPr>
      <w:r>
        <w:rPr>
          <w:rFonts w:ascii="Arial" w:hAnsi="Arial"/>
          <w:b/>
          <w:i w:val="0"/>
          <w:color w:val="2C3E50"/>
          <w:sz w:val="22"/>
        </w:rPr>
        <w:t>Ngày lập:</w:t>
      </w:r>
      <w:r>
        <w:rPr>
          <w:rFonts w:ascii="Arial" w:hAnsi="Arial"/>
          <w:b w:val="0"/>
          <w:i w:val="0"/>
          <w:color w:val="2C3E50"/>
          <w:sz w:val="22"/>
        </w:rPr>
        <w:t xml:space="preserve"> 24/06/2026</w:t>
      </w:r>
    </w:p>
    <w:p>
      <w:pPr>
        <w:pStyle w:val="ListBullet"/>
        <w:spacing w:before="0" w:after="60"/>
      </w:pPr>
      <w:r>
        <w:rPr>
          <w:rFonts w:ascii="Arial" w:hAnsi="Arial"/>
          <w:b/>
          <w:i w:val="0"/>
          <w:color w:val="2C3E50"/>
          <w:sz w:val="22"/>
        </w:rPr>
        <w:t>Phạm vi hàng hóa:</w:t>
      </w:r>
      <w:r>
        <w:rPr>
          <w:rFonts w:ascii="Arial" w:hAnsi="Arial"/>
          <w:b w:val="0"/>
          <w:i w:val="0"/>
          <w:color w:val="2C3E50"/>
          <w:sz w:val="22"/>
        </w:rPr>
        <w:t xml:space="preserve"> Hàng vừa &amp; cồng kềnh ≥ 5kg</w:t>
      </w:r>
    </w:p>
    <w:p>
      <w:pPr>
        <w:pStyle w:val="ListBullet"/>
        <w:spacing w:before="0" w:after="60"/>
      </w:pPr>
      <w:r>
        <w:rPr>
          <w:rFonts w:ascii="Arial" w:hAnsi="Arial"/>
          <w:b/>
          <w:i w:val="0"/>
          <w:color w:val="2C3E50"/>
          <w:sz w:val="22"/>
        </w:rPr>
        <w:t>Khung thời gian:</w:t>
      </w:r>
      <w:r>
        <w:rPr>
          <w:rFonts w:ascii="Arial" w:hAnsi="Arial"/>
          <w:b w:val="0"/>
          <w:i w:val="0"/>
          <w:color w:val="2C3E50"/>
          <w:sz w:val="22"/>
        </w:rPr>
        <w:t xml:space="preserve"> T7 – T12/2026</w:t>
      </w:r>
    </w:p>
    <w:p>
      <w:pPr>
        <w:pStyle w:val="ListBullet"/>
        <w:spacing w:before="0" w:after="60"/>
      </w:pPr>
      <w:r>
        <w:rPr>
          <w:rFonts w:ascii="Arial" w:hAnsi="Arial"/>
          <w:b/>
          <w:i w:val="0"/>
          <w:color w:val="2C3E50"/>
          <w:sz w:val="22"/>
        </w:rPr>
        <w:t>Tỉnh/thành phố:</w:t>
      </w:r>
      <w:r>
        <w:rPr>
          <w:rFonts w:ascii="Arial" w:hAnsi="Arial"/>
          <w:b w:val="0"/>
          <w:i w:val="0"/>
          <w:color w:val="2C3E50"/>
          <w:sz w:val="22"/>
        </w:rPr>
        <w:t xml:space="preserve"> TP. HCM</w:t>
      </w:r>
    </w:p>
    <w:p>
      <w:pPr>
        <w:pStyle w:val="ListBullet"/>
        <w:spacing w:before="0" w:after="60"/>
      </w:pPr>
      <w:r>
        <w:rPr>
          <w:rFonts w:ascii="Arial" w:hAnsi="Arial"/>
          <w:b/>
          <w:i w:val="0"/>
          <w:color w:val="2C3E50"/>
          <w:sz w:val="22"/>
        </w:rPr>
        <w:t>Nguồn volume:</w:t>
      </w:r>
      <w:r>
        <w:rPr>
          <w:rFonts w:ascii="Arial" w:hAnsi="Arial"/>
          <w:b w:val="0"/>
          <w:i w:val="0"/>
          <w:color w:val="2C3E50"/>
          <w:sz w:val="22"/>
        </w:rPr>
        <w:t xml:space="preserve"> </w:t>
      </w:r>
      <w:r>
        <w:rPr>
          <w:rFonts w:ascii="Arial" w:hAnsi="Arial"/>
          <w:b w:val="0"/>
          <w:i w:val="0"/>
          <w:color w:val="0072BC"/>
          <w:sz w:val="22"/>
        </w:rPr>
        <w:t>config_psbba_HCM</w:t>
      </w:r>
      <w:r>
        <w:rPr>
          <w:rFonts w:ascii="Arial" w:hAnsi="Arial"/>
          <w:b w:val="0"/>
          <w:i/>
          <w:color w:val="808080"/>
          <w:sz w:val="18"/>
        </w:rPr>
        <w:t xml:space="preserve"> (https://docs.google.com/spreadsheets/d/1HkMaXBJh8cXIFUokepj5D4T6Bio-TcgPoJJLbFXuvS8/edit?gid=562330875#gid=562330875)</w:t>
      </w:r>
    </w:p>
    <w:p>
      <w:pPr>
        <w:pStyle w:val="ListBullet"/>
        <w:spacing w:before="0" w:after="60"/>
      </w:pPr>
      <w:r>
        <w:rPr>
          <w:rFonts w:ascii="Arial" w:hAnsi="Arial"/>
          <w:b/>
          <w:i w:val="0"/>
          <w:color w:val="2C3E50"/>
          <w:sz w:val="22"/>
        </w:rPr>
        <w:t>Tài liệu kèm theo:</w:t>
      </w:r>
      <w:r>
        <w:rPr>
          <w:rFonts w:ascii="Arial" w:hAnsi="Arial"/>
          <w:b w:val="0"/>
          <w:i w:val="0"/>
          <w:color w:val="2C3E50"/>
          <w:sz w:val="22"/>
        </w:rPr>
        <w:t xml:space="preserve"> </w:t>
      </w:r>
      <w:r>
        <w:rPr>
          <w:rFonts w:ascii="Arial" w:hAnsi="Arial"/>
          <w:b w:val="0"/>
          <w:i w:val="0"/>
          <w:color w:val="0072BC"/>
          <w:sz w:val="22"/>
        </w:rPr>
        <w:t>[HCM] Tổng Hợp Kế Hoạch Hàng Cồng Kềnh 2026</w:t>
      </w:r>
      <w:r>
        <w:rPr>
          <w:rFonts w:ascii="Arial" w:hAnsi="Arial"/>
          <w:b w:val="0"/>
          <w:i/>
          <w:color w:val="808080"/>
          <w:sz w:val="18"/>
        </w:rPr>
        <w:t xml:space="preserve"> (https://docs.google.com/spreadsheets/d/17gQlNBAoyTeNepmOLOvf8QgEtbhHPkbuxwJK5ipBjCU/edit?gid=0#gid=0)</w:t>
      </w:r>
    </w:p>
    <w:p>
      <w:pPr>
        <w:spacing w:before="120" w:after="120"/>
        <w:jc w:val="center"/>
      </w:pPr>
      <w:r>
        <w:rPr>
          <w:rFonts w:ascii="Arial" w:hAnsi="Arial"/>
          <w:b w:val="0"/>
          <w:i w:val="0"/>
          <w:color w:val="C8C8C8"/>
          <w:sz w:val="20"/>
        </w:rPr>
        <w:t>━━━━━━━━━━━━━━━━━━━━━━━━━━━━━━━━━━━━━━━━</w:t>
      </w:r>
    </w:p>
    <w:p>
      <w:pPr>
        <w:keepNext/>
        <w:spacing w:before="240" w:after="80"/>
      </w:pPr>
      <w:r>
        <w:rPr>
          <w:rFonts w:ascii="Arial" w:hAnsi="Arial"/>
          <w:b/>
          <w:i w:val="0"/>
          <w:color w:val="0072BC"/>
          <w:sz w:val="28"/>
        </w:rPr>
        <w:t>I. TÓM TẮT ĐIỀU HÀNH</w:t>
      </w:r>
    </w:p>
    <w:p>
      <w:pPr>
        <w:spacing w:before="0" w:after="120"/>
      </w:pPr>
      <w:r>
        <w:rPr>
          <w:rFonts w:ascii="Arial" w:hAnsi="Arial"/>
          <w:b w:val="0"/>
          <w:i w:val="0"/>
          <w:color w:val="2C3E50"/>
          <w:sz w:val="22"/>
        </w:rPr>
        <w:t>Trong năm 2026, khu vực Hồ Chí Minh tiếp tục là một trong những thị trường trọng điểm đóng góp sản lượng lớn nhất của GHN, đồng thời cũng là khu vực có tốc độ tăng trưởng cao nhất đối với nhóm hàng Cồng Kềnh.</w:t>
      </w:r>
    </w:p>
    <w:p>
      <w:pPr>
        <w:spacing w:before="0" w:after="120"/>
      </w:pPr>
      <w:r>
        <w:rPr>
          <w:rFonts w:ascii="Arial" w:hAnsi="Arial"/>
          <w:b w:val="0"/>
          <w:i w:val="0"/>
          <w:color w:val="2C3E50"/>
          <w:sz w:val="22"/>
        </w:rPr>
        <w:t>Theo dự báo sản lượng, tổng FC quy đổi khối lượng của vùng sẽ tăng mạnh trong nửa cuối năm, không chỉ đến từ tăng trưởng tự nhiên của thị trường mà còn đến từ kế hoạch chuyển dịch sản lượng hàng cồng kềnh từ Giao Xe Tải (GXT) về mạng lưới vận hành của vùng HCM.</w:t>
      </w:r>
    </w:p>
    <w:p>
      <w:pPr>
        <w:spacing w:before="0" w:after="120"/>
      </w:pPr>
      <w:r>
        <w:rPr>
          <w:rFonts w:ascii="Arial" w:hAnsi="Arial"/>
          <w:b w:val="0"/>
          <w:i w:val="0"/>
          <w:color w:val="2C3E50"/>
          <w:sz w:val="22"/>
        </w:rPr>
        <w:t>Theo lộ trình triển khai, quá trình chuyển đổi sản lượng từ GXT sẽ diễn ra xuyên suốt trong giai đoạn tháng 06 đến tháng 08/2026. Sau khi hoàn tất, tất cả sản lượng hàng dưới 20kg hiện đang được xử lý bởi GXT sẽ được tiếp nhận trực tiếp bởi hệ thống Bưu cục truyền thống và Cồng Kềnh của vùng.</w:t>
      </w:r>
    </w:p>
    <w:p>
      <w:pPr>
        <w:spacing w:before="0" w:after="120"/>
      </w:pPr>
      <w:r>
        <w:rPr>
          <w:rFonts w:ascii="Arial" w:hAnsi="Arial"/>
          <w:b w:val="0"/>
          <w:i w:val="0"/>
          <w:color w:val="2C3E50"/>
          <w:sz w:val="22"/>
        </w:rPr>
        <w:t>Điều này tạo ra áp lực lớn lên năng lực mặt bằng, nguồn lực vận hành và hệ thống trung chuyển hiện hữu. Nếu không có giải pháp mở rộng năng lực xử lý chuyên biệt, nhiều bưu cục trọng điểm sẽ đối mặt với nguy cơ quá tải ngay trong Quý III và đặc biệt nghiêm trọng vào giai đoạn cao điểm cuối năm.</w:t>
      </w:r>
    </w:p>
    <w:p>
      <w:pPr>
        <w:spacing w:before="0" w:after="120"/>
      </w:pPr>
      <w:r>
        <w:rPr>
          <w:rFonts w:ascii="Arial" w:hAnsi="Arial"/>
          <w:b w:val="0"/>
          <w:i w:val="0"/>
          <w:color w:val="2C3E50"/>
          <w:sz w:val="22"/>
        </w:rPr>
        <w:t>Nhằm đảm bảo năng lực vận hành cho 2026, vùng HCM đề xuất triển khai mở rộng mạng lưới Bưu cục Cồng Kềnh với tổng cộng 24 bưu cục chuyên trách xử lý hàng trên 5kg.</w:t>
      </w:r>
    </w:p>
    <w:p>
      <w:pPr>
        <w:spacing w:before="120" w:after="120"/>
        <w:jc w:val="center"/>
      </w:pPr>
      <w:r>
        <w:rPr>
          <w:rFonts w:ascii="Arial" w:hAnsi="Arial"/>
          <w:b w:val="0"/>
          <w:i w:val="0"/>
          <w:color w:val="C8C8C8"/>
          <w:sz w:val="20"/>
        </w:rPr>
        <w:t>━━━━━━━━━━━━━━━━━━━━━━━━━━━━━━━━━━━━━━━━</w:t>
      </w:r>
    </w:p>
    <w:p>
      <w:pPr>
        <w:keepNext/>
        <w:spacing w:before="240" w:after="80"/>
      </w:pPr>
      <w:r>
        <w:rPr>
          <w:rFonts w:ascii="Arial" w:hAnsi="Arial"/>
          <w:b/>
          <w:i w:val="0"/>
          <w:color w:val="0072BC"/>
          <w:sz w:val="28"/>
        </w:rPr>
        <w:t>II. BỐI CẢNH VÀ THỰC TRẠNG</w:t>
      </w:r>
    </w:p>
    <w:p>
      <w:pPr>
        <w:keepNext/>
        <w:spacing w:before="200" w:after="80"/>
      </w:pPr>
      <w:r>
        <w:rPr>
          <w:rFonts w:ascii="Arial" w:hAnsi="Arial"/>
          <w:b/>
          <w:i w:val="0"/>
          <w:color w:val="2C3E50"/>
          <w:sz w:val="24"/>
        </w:rPr>
        <w:t>2.1 Bối Cảnh</w:t>
      </w:r>
    </w:p>
    <w:p>
      <w:pPr>
        <w:keepNext/>
        <w:spacing w:before="160" w:after="40"/>
      </w:pPr>
      <w:r>
        <w:rPr>
          <w:rFonts w:ascii="Arial" w:hAnsi="Arial"/>
          <w:b/>
          <w:i/>
          <w:color w:val="2C3E50"/>
          <w:sz w:val="22"/>
        </w:rPr>
        <w:t>Xu hướng tăng trưởng Cồng Kềnh</w:t>
      </w:r>
    </w:p>
    <w:p>
      <w:pPr>
        <w:spacing w:before="0" w:after="120"/>
      </w:pPr>
      <w:r>
        <w:rPr>
          <w:rFonts w:ascii="Arial" w:hAnsi="Arial"/>
          <w:b w:val="0"/>
          <w:i w:val="0"/>
          <w:color w:val="2C3E50"/>
          <w:sz w:val="22"/>
        </w:rPr>
        <w:t>Trong những năm gần đây, cơ cấu sản lượng của GHN đang có sự dịch chuyển rõ rệt sang nhóm hàng trọng lượng lớn, đặc biệt là các ngành hàng điện máy, nội thất, gia dụng, vật tư và hàng tiêu dùng kích thước lớn.</w:t>
      </w:r>
    </w:p>
    <w:p>
      <w:pPr>
        <w:spacing w:before="0" w:after="120"/>
      </w:pPr>
      <w:r>
        <w:rPr>
          <w:rFonts w:ascii="Arial" w:hAnsi="Arial"/>
          <w:b w:val="0"/>
          <w:i w:val="0"/>
          <w:color w:val="2C3E50"/>
          <w:sz w:val="22"/>
        </w:rPr>
        <w:t>Nhóm hàng trên 5kg có các đặc điểm vận hành khác biệt:</w:t>
      </w:r>
    </w:p>
    <w:p>
      <w:pPr>
        <w:pStyle w:val="ListBullet"/>
        <w:spacing w:before="0" w:after="60"/>
      </w:pPr>
      <w:r>
        <w:rPr>
          <w:rFonts w:ascii="Arial" w:hAnsi="Arial"/>
          <w:b w:val="0"/>
          <w:i w:val="0"/>
          <w:color w:val="2C3E50"/>
          <w:sz w:val="22"/>
        </w:rPr>
        <w:t>Chiếm diện tích lưu trữ lớn.</w:t>
      </w:r>
    </w:p>
    <w:p>
      <w:pPr>
        <w:pStyle w:val="ListBullet"/>
        <w:spacing w:before="0" w:after="60"/>
      </w:pPr>
      <w:r>
        <w:rPr>
          <w:rFonts w:ascii="Arial" w:hAnsi="Arial"/>
          <w:b w:val="0"/>
          <w:i w:val="0"/>
          <w:color w:val="2C3E50"/>
          <w:sz w:val="22"/>
        </w:rPr>
        <w:t>Yêu cầu phương tiện trung chuyển chuyên biệt.</w:t>
      </w:r>
    </w:p>
    <w:p>
      <w:pPr>
        <w:pStyle w:val="ListBullet"/>
        <w:spacing w:before="0" w:after="60"/>
      </w:pPr>
      <w:r>
        <w:rPr>
          <w:rFonts w:ascii="Arial" w:hAnsi="Arial"/>
          <w:b w:val="0"/>
          <w:i w:val="0"/>
          <w:color w:val="2C3E50"/>
          <w:sz w:val="22"/>
        </w:rPr>
        <w:t>Tốn nhiều nguồn lực bốc xếp.</w:t>
      </w:r>
    </w:p>
    <w:p>
      <w:pPr>
        <w:pStyle w:val="ListBullet"/>
        <w:spacing w:before="0" w:after="60"/>
      </w:pPr>
      <w:r>
        <w:rPr>
          <w:rFonts w:ascii="Arial" w:hAnsi="Arial"/>
          <w:b w:val="0"/>
          <w:i w:val="0"/>
          <w:color w:val="2C3E50"/>
          <w:sz w:val="22"/>
        </w:rPr>
        <w:t>Tác động trực tiếp đến năng suất xử lý và SLA vận hành.</w:t>
      </w:r>
    </w:p>
    <w:p>
      <w:pPr>
        <w:spacing w:before="0" w:after="120"/>
      </w:pPr>
      <w:r>
        <w:rPr>
          <w:rFonts w:ascii="Arial" w:hAnsi="Arial"/>
          <w:b w:val="0"/>
          <w:i w:val="0"/>
          <w:color w:val="2C3E50"/>
          <w:sz w:val="22"/>
        </w:rPr>
        <w:t>Do đó, mô hình vận hành hiện hữu không còn phù hợp khi sản lượng nhóm hàng này liên tục tăng trưởng.</w:t>
      </w:r>
    </w:p>
    <w:p>
      <w:pPr>
        <w:keepNext/>
        <w:spacing w:before="160" w:after="40"/>
      </w:pPr>
      <w:r>
        <w:rPr>
          <w:rFonts w:ascii="Arial" w:hAnsi="Arial"/>
          <w:b/>
          <w:i/>
          <w:color w:val="2C3E50"/>
          <w:sz w:val="22"/>
        </w:rPr>
        <w:t>Chuyển dịch sản lượng từ GXT</w:t>
      </w:r>
    </w:p>
    <w:p>
      <w:pPr>
        <w:spacing w:before="0" w:after="120"/>
      </w:pPr>
      <w:r>
        <w:rPr>
          <w:rFonts w:ascii="Arial" w:hAnsi="Arial"/>
          <w:b w:val="0"/>
          <w:i w:val="0"/>
          <w:color w:val="2C3E50"/>
          <w:sz w:val="22"/>
        </w:rPr>
        <w:t>Bên cạnh tăng trưởng tự nhiên của thị trường, vùng HCM sẽ tiếp nhận thêm sản lượng từ GXT theo lộ trình chuyển đổi trong tháng 06, 07 và 08/2026.</w:t>
      </w:r>
    </w:p>
    <w:p>
      <w:pPr>
        <w:spacing w:before="0" w:after="120"/>
      </w:pPr>
      <w:r>
        <w:rPr>
          <w:rFonts w:ascii="Arial" w:hAnsi="Arial"/>
          <w:b w:val="0"/>
          <w:i w:val="0"/>
          <w:color w:val="2C3E50"/>
          <w:sz w:val="22"/>
        </w:rPr>
        <w:t>Đây là yếu tố quan trọng nhất ảnh hưởng đến nhu cầu mở rộng năng lực vận hành năm 2026.</w:t>
      </w:r>
    </w:p>
    <w:p>
      <w:pPr>
        <w:spacing w:before="0" w:after="120"/>
      </w:pPr>
      <w:r>
        <w:rPr>
          <w:rFonts w:ascii="Arial" w:hAnsi="Arial"/>
          <w:b w:val="0"/>
          <w:i w:val="0"/>
          <w:color w:val="2C3E50"/>
          <w:sz w:val="22"/>
        </w:rPr>
        <w:t>Khác với tăng trưởng thông thường, sản lượng chuyển giao từ GXT sẽ tạo ra sự gia tăng đột biến về volume trong thời gian ngắn.</w:t>
      </w:r>
    </w:p>
    <w:p>
      <w:pPr>
        <w:spacing w:before="0" w:after="120"/>
      </w:pPr>
      <w:r>
        <w:rPr>
          <w:rFonts w:ascii="Arial" w:hAnsi="Arial"/>
          <w:b w:val="0"/>
          <w:i w:val="0"/>
          <w:color w:val="2C3E50"/>
          <w:sz w:val="22"/>
        </w:rPr>
        <w:t>Đặc biệt, nguồn hàng từ GXT có tỷ trọng hàng cồng kềnh và hàng trọng lượng lớn cao hơn mức trung bình của mạng lưới vùng HCM, làm gia tăng đáng kể nhu cầu về:</w:t>
      </w:r>
    </w:p>
    <w:p>
      <w:pPr>
        <w:pStyle w:val="ListBullet"/>
        <w:spacing w:before="0" w:after="60"/>
      </w:pPr>
      <w:r>
        <w:rPr>
          <w:rFonts w:ascii="Arial" w:hAnsi="Arial"/>
          <w:b w:val="0"/>
          <w:i w:val="0"/>
          <w:color w:val="2C3E50"/>
          <w:sz w:val="22"/>
        </w:rPr>
        <w:t>Diện tích mặt bằng.</w:t>
      </w:r>
    </w:p>
    <w:p>
      <w:pPr>
        <w:pStyle w:val="ListBullet"/>
        <w:spacing w:before="0" w:after="60"/>
      </w:pPr>
      <w:r>
        <w:rPr>
          <w:rFonts w:ascii="Arial" w:hAnsi="Arial"/>
          <w:b w:val="0"/>
          <w:i w:val="0"/>
          <w:color w:val="2C3E50"/>
          <w:sz w:val="22"/>
        </w:rPr>
        <w:t>Năng lực xe Van.</w:t>
      </w:r>
    </w:p>
    <w:p>
      <w:pPr>
        <w:pStyle w:val="ListBullet"/>
        <w:spacing w:before="0" w:after="60"/>
      </w:pPr>
      <w:r>
        <w:rPr>
          <w:rFonts w:ascii="Arial" w:hAnsi="Arial"/>
          <w:b w:val="0"/>
          <w:i w:val="0"/>
          <w:color w:val="2C3E50"/>
          <w:sz w:val="22"/>
        </w:rPr>
        <w:t>Nhân sự xử lý hàng.</w:t>
      </w:r>
    </w:p>
    <w:p>
      <w:pPr>
        <w:pStyle w:val="ListBullet"/>
        <w:spacing w:before="0" w:after="60"/>
      </w:pPr>
      <w:r>
        <w:rPr>
          <w:rFonts w:ascii="Arial" w:hAnsi="Arial"/>
          <w:b w:val="0"/>
          <w:i w:val="0"/>
          <w:color w:val="2C3E50"/>
          <w:sz w:val="22"/>
        </w:rPr>
        <w:t>Capacity giao nhận.</w:t>
      </w:r>
    </w:p>
    <w:p>
      <w:pPr>
        <w:spacing w:before="120" w:after="120"/>
        <w:jc w:val="center"/>
      </w:pPr>
      <w:r>
        <w:rPr>
          <w:rFonts w:ascii="Arial" w:hAnsi="Arial"/>
          <w:b w:val="0"/>
          <w:i w:val="0"/>
          <w:color w:val="C8C8C8"/>
          <w:sz w:val="20"/>
        </w:rPr>
        <w:t>━━━━━━━━━━━━━━━━━━━━━━━━━━━━━━━━━━━━━━━━</w:t>
      </w:r>
    </w:p>
    <w:p>
      <w:pPr>
        <w:keepNext/>
        <w:spacing w:before="200" w:after="80"/>
      </w:pPr>
      <w:r>
        <w:rPr>
          <w:rFonts w:ascii="Arial" w:hAnsi="Arial"/>
          <w:b/>
          <w:i w:val="0"/>
          <w:color w:val="2C3E50"/>
          <w:sz w:val="24"/>
        </w:rPr>
        <w:t>2.2 Thực Trạng</w:t>
      </w:r>
    </w:p>
    <w:p>
      <w:pPr>
        <w:keepNext/>
        <w:spacing w:before="160" w:after="40"/>
      </w:pPr>
      <w:r>
        <w:rPr>
          <w:rFonts w:ascii="Arial" w:hAnsi="Arial"/>
          <w:b/>
          <w:i/>
          <w:color w:val="2C3E50"/>
          <w:sz w:val="22"/>
        </w:rPr>
        <w:t>Sản Lượng Hàng &gt;05Kg Vùng Phục Vụ</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Tỉnh/Thành phố</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6</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7</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8</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9</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10</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11</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12</w:t>
            </w:r>
          </w:p>
        </w:tc>
      </w:tr>
      <w:tr>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Vol &gt;5Kg</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274,588</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319,289</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319,289</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322,792</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406,781</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369,778</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384,835</w:t>
            </w:r>
          </w:p>
        </w:tc>
      </w:tr>
      <w:tr>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i w:val="0"/>
                <w:color w:val="2C3E50"/>
                <w:sz w:val="19"/>
              </w:rPr>
              <w:t>Tỷ lệ tăng trưởng</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16.28%</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16.28%</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17.56%</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48.14%</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34.67%</w:t>
            </w:r>
          </w:p>
        </w:tc>
        <w:tc>
          <w:tcPr>
            <w:tcW w:type="dxa" w:w="117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40.15%</w:t>
            </w:r>
          </w:p>
        </w:tc>
      </w:tr>
    </w:tbl>
    <w:p>
      <w:pPr>
        <w:spacing w:before="0" w:after="120"/>
      </w:pPr>
      <w:r>
        <w:rPr>
          <w:rFonts w:ascii="Arial" w:hAnsi="Arial"/>
          <w:b w:val="0"/>
          <w:i w:val="0"/>
          <w:color w:val="2C3E50"/>
          <w:sz w:val="22"/>
        </w:rPr>
        <w:t>Tại tháng 06.2026, TP.HCM đang phục vụ khoảng 274,588 đơn hàng từ 5-20kg/ngày. Theo kế hoạch chuyển giao hàng &lt;20kg về vùng của GXT, tới T12.2026 toàn bộ TP.HCM sẽ phục vụ hơn 380,000 đơn hàng từ 5-20kg/ngày (Tương đương tăng trưởng 40.15%).</w:t>
      </w:r>
    </w:p>
    <w:p>
      <w:pPr>
        <w:keepNext/>
        <w:spacing w:before="160" w:after="40"/>
      </w:pPr>
      <w:r>
        <w:rPr>
          <w:rFonts w:ascii="Arial" w:hAnsi="Arial"/>
          <w:b/>
          <w:i/>
          <w:color w:val="2C3E50"/>
          <w:sz w:val="22"/>
        </w:rPr>
        <w:t>Khả Năng Đáp Ứng BCCK Hiện Tại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STT</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Bưu Cục</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Volume</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 GTC</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Volume GTC</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An Phú Đông</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3,991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63.42%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2,531</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Bình Thạnh</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7,968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83.12%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6,623</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Thới</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3,697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86.45%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3,196</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Bình Trưng 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7,154</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83.98%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6,008</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Trưng 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7,425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81.35%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6,040</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Đông Hưng Thuận</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4,241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73.52%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3,118</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Hạnh Thông</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13,036</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88.47%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11,533</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Hòa Hưng 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9,124</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84.85%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7,742</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Hòa Hưng 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4,705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88.08%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4,144</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Long Bình</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3,518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77.06%</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2,711</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Phú Thuận</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6,196</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91.48%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5,668</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Phước Long</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4,592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85.67%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3,934</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Hưng</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5,049</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90.43%</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4,566</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14</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Phú</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8,593</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87.42%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7,512</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Sơn Hòa</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9,802</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71.71%</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7,029</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Tạo</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10,944</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78.19%</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8,557</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Thới Hiệp</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6,234</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81.57%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5,085</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Vĩnh Lộc</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3,017</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62.08%</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1,873</w:t>
            </w:r>
          </w:p>
        </w:tc>
      </w:tr>
      <w:tr>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Tổng Cộng</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119,286</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81.05%</w:t>
            </w:r>
          </w:p>
        </w:tc>
        <w:tc>
          <w:tcPr>
            <w:tcW w:type="dxa" w:w="1872"/>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97,870</w:t>
            </w:r>
          </w:p>
        </w:tc>
      </w:tr>
    </w:tbl>
    <w:p>
      <w:pPr>
        <w:spacing w:before="0" w:after="120"/>
      </w:pPr>
      <w:r>
        <w:rPr>
          <w:rFonts w:ascii="Arial" w:hAnsi="Arial"/>
          <w:b w:val="0"/>
          <w:i w:val="0"/>
          <w:color w:val="2C3E50"/>
          <w:sz w:val="22"/>
        </w:rPr>
        <w:t>Tính tới tháng 06.2026, toàn vùng HCM có 18 BCCK hiện hữu. Các bưu cục đang phục vụ 119,286 đơn hàng và GTC 97,870 đơn.</w:t>
      </w:r>
    </w:p>
    <w:p>
      <w:pPr>
        <w:spacing w:before="0" w:after="120"/>
      </w:pPr>
      <w:r>
        <w:rPr>
          <w:rFonts w:ascii="Arial" w:hAnsi="Arial"/>
          <w:b w:val="0"/>
          <w:i w:val="0"/>
          <w:color w:val="2C3E50"/>
          <w:sz w:val="22"/>
        </w:rPr>
        <w:t>Từ thực tế trên, nếu duy trì nguyên số lượng BCCK hiện tại và chưa tính đến các yếu tố về năng suất cũng như định biên nhân sự, đến tháng 12/2026, vùng chỉ có khả năng tiếp nhận 229,701 đơn (đáp ứng 59.69%) sản lượng hàng hóa từ 05–20kg được chuyển giao. Điều này đồng nghĩa vẫn còn hơn 155,000 đơn hàng phải tiếp tục được xử lý tại các bưu cục truyền thống.</w:t>
      </w:r>
    </w:p>
    <w:p>
      <w:pPr>
        <w:spacing w:before="0" w:after="120"/>
      </w:pPr>
      <w:r>
        <w:rPr>
          <w:rFonts w:ascii="Arial" w:hAnsi="Arial"/>
          <w:b w:val="0"/>
          <w:i w:val="0"/>
          <w:color w:val="2C3E50"/>
          <w:sz w:val="22"/>
        </w:rPr>
        <w:t>Khối lượng hàng hóa lớn chưa được hấp thụ bởi hệ thống BCCK sẽ tạo áp lực đáng kể lên các bưu cục truyền thống, không chỉ về hạ tầng vận hành và năng lực xử lý hàng hóa mà còn ảnh hưởng trực tiếp đến năng suất giao nhận chung của toàn vùng.</w:t>
      </w:r>
    </w:p>
    <w:p>
      <w:pPr>
        <w:spacing w:before="0" w:after="120"/>
      </w:pPr>
      <w:r>
        <w:rPr>
          <w:rFonts w:ascii="Arial" w:hAnsi="Arial"/>
          <w:b w:val="0"/>
          <w:i w:val="0"/>
          <w:color w:val="2C3E50"/>
          <w:sz w:val="22"/>
        </w:rPr>
        <w:t>Do đó, nhu cầu mở rộng không xuất phát đơn thuần từ tăng trưởng sản lượng mà còn là yêu cầu bắt buộc để đảm bảo thành công của chiến lược chuyển đổi vận hành từ GXT về vùng HCM.</w:t>
      </w:r>
    </w:p>
    <w:p>
      <w:pPr>
        <w:spacing w:before="120" w:after="120"/>
        <w:jc w:val="center"/>
      </w:pPr>
      <w:r>
        <w:rPr>
          <w:rFonts w:ascii="Arial" w:hAnsi="Arial"/>
          <w:b w:val="0"/>
          <w:i w:val="0"/>
          <w:color w:val="C8C8C8"/>
          <w:sz w:val="20"/>
        </w:rPr>
        <w:t>━━━━━━━━━━━━━━━━━━━━━━━━━━━━━━━━━━━━━━━━</w:t>
      </w:r>
    </w:p>
    <w:p>
      <w:pPr>
        <w:keepNext/>
        <w:spacing w:before="200" w:after="80"/>
      </w:pPr>
      <w:r>
        <w:rPr>
          <w:rFonts w:ascii="Arial" w:hAnsi="Arial"/>
          <w:b/>
          <w:i w:val="0"/>
          <w:color w:val="2C3E50"/>
          <w:sz w:val="24"/>
        </w:rPr>
        <w:t>2.3 Dự Báo Năng Lực &amp; Phân Tích Gap</w:t>
      </w:r>
    </w:p>
    <w:p>
      <w:pPr>
        <w:keepNext/>
        <w:spacing w:before="160" w:after="40"/>
      </w:pPr>
      <w:r>
        <w:rPr>
          <w:rFonts w:ascii="Arial" w:hAnsi="Arial"/>
          <w:b/>
          <w:i/>
          <w:color w:val="2C3E50"/>
          <w:sz w:val="22"/>
        </w:rPr>
        <w:t>Cơ Sở Tính Toán</w:t>
      </w:r>
    </w:p>
    <w:p>
      <w:pPr>
        <w:spacing w:before="0" w:after="120"/>
      </w:pPr>
      <w:r>
        <w:rPr>
          <w:rFonts w:ascii="Arial" w:hAnsi="Arial"/>
          <w:b w:val="0"/>
          <w:i w:val="0"/>
          <w:color w:val="2C3E50"/>
          <w:sz w:val="22"/>
        </w:rPr>
        <w:t>Theo hướng dẫn chung của mẫu AOP, nhu cầu nguồn lực được tính theo tháng như sau:</w:t>
      </w:r>
    </w:p>
    <w:p>
      <w:pPr>
        <w:pStyle w:val="ListBullet"/>
        <w:spacing w:before="0" w:after="60"/>
      </w:pPr>
      <w:r>
        <w:rPr>
          <w:rFonts w:ascii="Arial" w:hAnsi="Arial"/>
          <w:b/>
          <w:i w:val="0"/>
          <w:color w:val="2C3E50"/>
          <w:sz w:val="22"/>
        </w:rPr>
        <w:t>Hàng vừa (05–20kg):</w:t>
      </w:r>
      <w:r>
        <w:rPr>
          <w:rFonts w:ascii="Arial" w:hAnsi="Arial"/>
          <w:b w:val="0"/>
          <w:i w:val="0"/>
          <w:color w:val="2C3E50"/>
          <w:sz w:val="22"/>
        </w:rPr>
        <w:t xml:space="preserve"> Người van cần = [SL vừa/ngày ÷ Năng suất giao/người van] (55-61 đơn/người/ngày).</w:t>
      </w:r>
    </w:p>
    <w:p>
      <w:pPr>
        <w:pStyle w:val="ListBullet"/>
        <w:spacing w:before="0" w:after="60"/>
      </w:pPr>
      <w:r>
        <w:rPr>
          <w:rFonts w:ascii="Arial" w:hAnsi="Arial"/>
          <w:b/>
          <w:i w:val="0"/>
          <w:color w:val="2C3E50"/>
          <w:sz w:val="22"/>
        </w:rPr>
        <w:t>Mặt bằng (m²):</w:t>
      </w:r>
      <w:r>
        <w:rPr>
          <w:rFonts w:ascii="Arial" w:hAnsi="Arial"/>
          <w:b w:val="0"/>
          <w:i w:val="0"/>
          <w:color w:val="2C3E50"/>
          <w:sz w:val="22"/>
        </w:rPr>
        <w:t xml:space="preserve"> SL/ngày ÷ Mật độ lưu trữ (3.3 đơn/m² cho hàng vừa).</w:t>
      </w:r>
    </w:p>
    <w:p>
      <w:pPr>
        <w:pStyle w:val="ListBullet"/>
        <w:spacing w:before="0" w:after="60"/>
      </w:pPr>
      <w:r>
        <w:rPr>
          <w:rFonts w:ascii="Arial" w:hAnsi="Arial"/>
          <w:b/>
          <w:i w:val="0"/>
          <w:color w:val="2C3E50"/>
          <w:sz w:val="22"/>
        </w:rPr>
        <w:t>Chi phí/tháng:</w:t>
      </w:r>
      <w:r>
        <w:rPr>
          <w:rFonts w:ascii="Arial" w:hAnsi="Arial"/>
          <w:b w:val="0"/>
          <w:i w:val="0"/>
          <w:color w:val="2C3E50"/>
          <w:sz w:val="22"/>
        </w:rPr>
        <w:t xml:space="preserve"> Chi phí xe (xe BQ/ngày × 1,300,000đ × 30 ngày) + LHH NVPTTT (số người × 22 triệu đ/người/tháng) + Chi phí thuê mặt bằng (m² × 166,000đ/m²/tháng).</w:t>
      </w:r>
    </w:p>
    <w:p>
      <w:pPr>
        <w:pStyle w:val="ListBullet"/>
        <w:spacing w:before="0" w:after="60"/>
      </w:pPr>
      <w:r>
        <w:rPr>
          <w:rFonts w:ascii="Arial" w:hAnsi="Arial"/>
          <w:b w:val="0"/>
          <w:i/>
          <w:color w:val="2C3E50"/>
          <w:sz w:val="22"/>
        </w:rPr>
        <w:t>Chưa bao gồm chi phí nhân sự kho &amp; quản lý cố định theo từng BCCK.</w:t>
      </w:r>
    </w:p>
    <w:p>
      <w:pPr>
        <w:keepNext/>
        <w:spacing w:before="160" w:after="40"/>
      </w:pPr>
      <w:r>
        <w:rPr>
          <w:rFonts w:ascii="Arial" w:hAnsi="Arial"/>
          <w:b/>
          <w:i/>
          <w:color w:val="2C3E50"/>
          <w:sz w:val="22"/>
        </w:rPr>
        <w:t>Hệ số Thứ — phân bổ sản lượng theo ngày trong tuần</w:t>
      </w:r>
    </w:p>
    <w:p>
      <w:pPr>
        <w:spacing w:before="0" w:after="120"/>
      </w:pPr>
      <w:r>
        <w:rPr>
          <w:rFonts w:ascii="Arial" w:hAnsi="Arial"/>
          <w:b w:val="0"/>
          <w:i w:val="0"/>
          <w:color w:val="2C3E50"/>
          <w:sz w:val="22"/>
        </w:rPr>
        <w:t>Áp dụng phương pháp: Hệ số Thứ X = (SL giao trung bình ngày Thứ X) ÷ (SL giao trung bình ngày cả tháng), để xếp xe/nhân sự sát với biến động thực tế trong tuần thay vì chỉ dùng số bình quân tháng. Đặt mức trần xe Van là 2 xe/bưu cục.</w:t>
      </w:r>
    </w:p>
    <w:p>
      <w:pPr>
        <w:keepNext/>
        <w:spacing w:before="160" w:after="40"/>
      </w:pPr>
      <w:r>
        <w:rPr>
          <w:rFonts w:ascii="Arial" w:hAnsi="Arial"/>
          <w:b/>
          <w:i/>
          <w:color w:val="2C3E50"/>
          <w:sz w:val="22"/>
        </w:rPr>
        <w:t>Thông Tin Cơ Cở</w:t>
      </w:r>
    </w:p>
    <w:tbl>
      <w:tblPr>
        <w:tblW w:type="auto" w:w="0"/>
        <w:jc w:val="center"/>
        <w:tblLook w:firstColumn="1" w:firstRow="1" w:lastColumn="0" w:lastRow="0" w:noHBand="0" w:noVBand="1" w:val="04A0"/>
      </w:tblPr>
      <w:tblGrid>
        <w:gridCol w:w="4680"/>
        <w:gridCol w:w="4680"/>
      </w:tblGrid>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Tham số</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Giá trị</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Hệ số ngày cao điểm (X)</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Xe tối đa / kho (ngày thường)</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53</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Xe tối đa / kho (cao điểm)</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60</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Năng suất GTC/chuyến NVPTTT (ngày thường)</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55</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Năng suất GTC/chuyến NVPTTT (cao điểm)</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61</w:t>
            </w:r>
          </w:p>
        </w:tc>
      </w:tr>
    </w:tbl>
    <w:p>
      <w:pPr>
        <w:keepNext/>
        <w:spacing w:before="160" w:after="40"/>
      </w:pPr>
      <w:r>
        <w:rPr>
          <w:rFonts w:ascii="Arial" w:hAnsi="Arial"/>
          <w:b/>
          <w:i/>
          <w:color w:val="2C3E50"/>
          <w:sz w:val="22"/>
        </w:rPr>
        <w:t>TỶ LỆ GIAO THÀNH CÔNG (GTC) THEO THỨ</w:t>
      </w:r>
    </w:p>
    <w:tbl>
      <w:tblPr>
        <w:tblW w:type="auto" w:w="0"/>
        <w:jc w:val="center"/>
        <w:tblLook w:firstColumn="1" w:firstRow="1" w:lastColumn="0" w:lastRow="0" w:noHBand="0" w:noVBand="1" w:val="04A0"/>
      </w:tblPr>
      <w:tblGrid>
        <w:gridCol w:w="4680"/>
        <w:gridCol w:w="4680"/>
      </w:tblGrid>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Thứ</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Tỷ lệ GTC</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T2</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77.3%</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T3</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82.2%</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T4</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80.7%</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T5</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81.9%</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T6</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80.9%</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T7</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82.8%</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CN</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80.1%</w:t>
            </w:r>
          </w:p>
        </w:tc>
      </w:tr>
    </w:tbl>
    <w:p>
      <w:pPr>
        <w:keepNext/>
        <w:spacing w:before="160" w:after="40"/>
      </w:pPr>
      <w:r>
        <w:rPr>
          <w:rFonts w:ascii="Arial" w:hAnsi="Arial"/>
          <w:b/>
          <w:i/>
          <w:color w:val="2C3E50"/>
          <w:sz w:val="22"/>
        </w:rPr>
        <w:t>THAM SỐ NGUỒN LỰC &amp; CHI PHÍ</w:t>
      </w:r>
    </w:p>
    <w:tbl>
      <w:tblPr>
        <w:tblW w:type="auto" w:w="0"/>
        <w:jc w:val="center"/>
        <w:tblLook w:firstColumn="1" w:firstRow="1" w:lastColumn="0" w:lastRow="0" w:noHBand="0" w:noVBand="1" w:val="04A0"/>
      </w:tblPr>
      <w:tblGrid>
        <w:gridCol w:w="4680"/>
        <w:gridCol w:w="4680"/>
      </w:tblGrid>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Tham số</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Giá trị</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Năng suất xử lý kho (đơn/người/ngày)</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250</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Số người / xe (tài xế + phụ)</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0.0</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Mật độ lưu trữ (đơn/m²)</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0.3</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Đơn giá thuê trung bình (đ/m²/tháng)</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166,000</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Chi phí xe (đ/xe/ngày)</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1,300,000</w:t>
            </w:r>
          </w:p>
        </w:tc>
      </w:tr>
      <w:tr>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Lương BQ nhân sự xử lý (đ/người/tháng)</w:t>
            </w:r>
          </w:p>
        </w:tc>
        <w:tc>
          <w:tcPr>
            <w:tcW w:type="dxa" w:w="468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22,000,000</w:t>
            </w:r>
          </w:p>
        </w:tc>
      </w:tr>
    </w:tbl>
    <w:p>
      <w:pPr>
        <w:spacing w:before="120" w:after="120"/>
        <w:jc w:val="center"/>
      </w:pPr>
      <w:r>
        <w:rPr>
          <w:rFonts w:ascii="Arial" w:hAnsi="Arial"/>
          <w:b w:val="0"/>
          <w:i w:val="0"/>
          <w:color w:val="C8C8C8"/>
          <w:sz w:val="20"/>
        </w:rPr>
        <w:t>━━━━━━━━━━━━━━━━━━━━━━━━━━━━━━━━━━━━━━━━</w:t>
      </w:r>
    </w:p>
    <w:p>
      <w:pPr>
        <w:keepNext/>
        <w:spacing w:before="240" w:after="80"/>
      </w:pPr>
      <w:r>
        <w:rPr>
          <w:rFonts w:ascii="Arial" w:hAnsi="Arial"/>
          <w:b/>
          <w:i w:val="0"/>
          <w:color w:val="0072BC"/>
          <w:sz w:val="28"/>
        </w:rPr>
        <w:t>III. KẾ HOẠCH</w:t>
      </w:r>
    </w:p>
    <w:p>
      <w:pPr>
        <w:keepNext/>
        <w:spacing w:before="200" w:after="80"/>
      </w:pPr>
      <w:r>
        <w:rPr>
          <w:rFonts w:ascii="Arial" w:hAnsi="Arial"/>
          <w:b/>
          <w:i w:val="0"/>
          <w:color w:val="2C3E50"/>
          <w:sz w:val="24"/>
        </w:rPr>
        <w:t>3.1 Mặt Bằng</w:t>
      </w:r>
    </w:p>
    <w:p>
      <w:pPr>
        <w:keepNext/>
        <w:spacing w:before="160" w:after="40"/>
      </w:pPr>
      <w:r>
        <w:rPr>
          <w:rFonts w:ascii="Arial" w:hAnsi="Arial"/>
          <w:b/>
          <w:i/>
          <w:color w:val="2C3E50"/>
          <w:sz w:val="22"/>
        </w:rPr>
        <w:t>Logic Tính Toán</w:t>
      </w:r>
    </w:p>
    <w:p>
      <w:pPr>
        <w:spacing w:before="0" w:after="120"/>
      </w:pPr>
      <w:r>
        <w:rPr>
          <w:rFonts w:ascii="Arial" w:hAnsi="Arial"/>
          <w:b w:val="0"/>
          <w:i w:val="0"/>
          <w:color w:val="2C3E50"/>
          <w:sz w:val="22"/>
        </w:rPr>
        <w:t>Tham số và quy ước để xác định việc mở mới mặt bằng BCCK (Đã thống nhất với Network):</w:t>
      </w:r>
    </w:p>
    <w:p>
      <w:pPr>
        <w:pStyle w:val="ListBullet"/>
        <w:spacing w:before="0" w:after="60"/>
      </w:pPr>
      <w:r>
        <w:rPr>
          <w:rFonts w:ascii="Arial" w:hAnsi="Arial"/>
          <w:b/>
          <w:i w:val="0"/>
          <w:color w:val="2C3E50"/>
          <w:sz w:val="22"/>
        </w:rPr>
        <w:t>SẢN LƯỢNG (GIAO) / NGÀY:</w:t>
      </w:r>
      <w:r>
        <w:rPr>
          <w:rFonts w:ascii="Arial" w:hAnsi="Arial"/>
          <w:b w:val="0"/>
          <w:i w:val="0"/>
          <w:color w:val="2C3E50"/>
          <w:sz w:val="22"/>
        </w:rPr>
        <w:t xml:space="preserve"> 300</w:t>
      </w:r>
    </w:p>
    <w:p>
      <w:pPr>
        <w:pStyle w:val="ListBullet"/>
        <w:spacing w:before="0" w:after="60"/>
      </w:pPr>
      <w:r>
        <w:rPr>
          <w:rFonts w:ascii="Arial" w:hAnsi="Arial"/>
          <w:b/>
          <w:i w:val="0"/>
          <w:color w:val="2C3E50"/>
          <w:sz w:val="22"/>
        </w:rPr>
        <w:t>KHỐI LƯỢNG (GIAO) / NGÀY (kg):</w:t>
      </w:r>
      <w:r>
        <w:rPr>
          <w:rFonts w:ascii="Arial" w:hAnsi="Arial"/>
          <w:b w:val="0"/>
          <w:i w:val="0"/>
          <w:color w:val="2C3E50"/>
          <w:sz w:val="22"/>
        </w:rPr>
        <w:t xml:space="preserve"> 2,400</w:t>
      </w:r>
    </w:p>
    <w:p>
      <w:pPr>
        <w:pStyle w:val="ListBullet"/>
        <w:spacing w:before="0" w:after="60"/>
      </w:pPr>
      <w:r>
        <w:rPr>
          <w:rFonts w:ascii="Arial" w:hAnsi="Arial"/>
          <w:b/>
          <w:i w:val="0"/>
          <w:color w:val="2C3E50"/>
          <w:sz w:val="22"/>
        </w:rPr>
        <w:t>DT Khu Vực:</w:t>
      </w:r>
      <w:r>
        <w:rPr>
          <w:rFonts w:ascii="Arial" w:hAnsi="Arial"/>
          <w:b w:val="0"/>
          <w:i w:val="0"/>
          <w:color w:val="2C3E50"/>
          <w:sz w:val="22"/>
        </w:rPr>
        <w:t xml:space="preserve"> 50</w:t>
      </w:r>
    </w:p>
    <w:p>
      <w:pPr>
        <w:spacing w:before="0" w:after="120"/>
      </w:pPr>
      <w:r>
        <w:rPr>
          <w:rFonts w:ascii="Arial" w:hAnsi="Arial"/>
          <w:b w:val="0"/>
          <w:i w:val="0"/>
          <w:color w:val="2C3E50"/>
          <w:sz w:val="22"/>
        </w:rPr>
        <w:t>Từ logic, tham số và quy ước đã được thống nhất, số lượng BCCK vùng được mở theo quận. Cụ thể:</w:t>
      </w:r>
    </w:p>
    <w:p>
      <w:pPr>
        <w:pStyle w:val="ListBullet"/>
        <w:spacing w:before="0" w:after="60"/>
      </w:pPr>
      <w:r>
        <w:rPr>
          <w:rFonts w:ascii="Arial" w:hAnsi="Arial"/>
          <w:b/>
          <w:i w:val="0"/>
          <w:color w:val="2C3E50"/>
          <w:sz w:val="22"/>
        </w:rPr>
        <w:t>Số lượng đủ điều kiện:</w:t>
      </w:r>
      <w:r>
        <w:rPr>
          <w:rFonts w:ascii="Arial" w:hAnsi="Arial"/>
          <w:b w:val="0"/>
          <w:i w:val="0"/>
          <w:color w:val="2C3E50"/>
          <w:sz w:val="22"/>
        </w:rPr>
        <w:t xml:space="preserve"> 34 BCCK</w:t>
      </w:r>
    </w:p>
    <w:p>
      <w:pPr>
        <w:pStyle w:val="ListBullet"/>
        <w:spacing w:before="0" w:after="60"/>
      </w:pPr>
      <w:r>
        <w:rPr>
          <w:rFonts w:ascii="Arial" w:hAnsi="Arial"/>
          <w:b/>
          <w:i w:val="0"/>
          <w:color w:val="2C3E50"/>
          <w:sz w:val="22"/>
        </w:rPr>
        <w:t>Số lượng vùng chốt (Dựa theo thực tế vận hành):</w:t>
      </w:r>
      <w:r>
        <w:rPr>
          <w:rFonts w:ascii="Arial" w:hAnsi="Arial"/>
          <w:b w:val="0"/>
          <w:i w:val="0"/>
          <w:color w:val="2C3E50"/>
          <w:sz w:val="22"/>
        </w:rPr>
        <w:t xml:space="preserve"> 24 BCCK</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Quận/Huyện</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Diện tích quận/huyện (km2)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Tổng đơn từ 5kg trở lên</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Tổng lương đơn ca sáng (70% lượng đơn/ngày)</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Đủ sản lượng để mở BC</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SL BC Network dự kiến 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SL BCCK Vùng cần</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946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662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667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467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524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367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Huyện Củ Chi</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435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1,407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985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Huyện Cần Giờ</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704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304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Huyện Nhà Bè</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1,027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719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Huyện Hóc Môn</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109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1,718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1,203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531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371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909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636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1,362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954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10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830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581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11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587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411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12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2,327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1,629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Bình Thạnh</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1,945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1,362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Gò Vấp</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2,124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1,486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Tân Bình</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1,793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1,255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Tân Phú</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1,755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1,229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Phú Nhuận</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726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508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Bình Tân</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2,861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2,003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Huyện Bình Chánh</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253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2,676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1,873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2,013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1,409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Thành phố Thủ Đức</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211.56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6,923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4,846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Tổng BC</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34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24</w:t>
            </w:r>
          </w:p>
        </w:tc>
      </w:tr>
    </w:tbl>
    <w:p>
      <w:pPr>
        <w:keepNext/>
        <w:spacing w:before="160" w:after="40"/>
      </w:pPr>
      <w:r>
        <w:rPr>
          <w:rFonts w:ascii="Arial" w:hAnsi="Arial"/>
          <w:b/>
          <w:i/>
          <w:color w:val="2C3E50"/>
          <w:sz w:val="22"/>
        </w:rPr>
        <w:t>Chi Tiết Kế Hoạch Mở BCCK</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STT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ID BC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Giai đoạn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Bưu Cục Cồng Kềnh Dự Kiến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Vol TB T12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Diện tích cần có</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Giá thuê tạm tính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AM Phụ Trách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Tình Trạng Mặt Bằng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22494000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Trưng 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598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199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12,500,000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Nguyễn Đình Toàn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23011000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Quận 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Phú Lâm</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299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Tôn Ngọc Lực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21485000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Phú Thuận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570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190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30,000,000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Nguyễn Văn Tài</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20124000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Hưng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365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16,500,000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Nguyễn Văn Tài</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23018000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Quận 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Phạm Hùng-Bình Chánh-HCM</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320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107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Tôn Ngọc Lực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21296003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Long Bình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243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8,500,000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Võ Thị Bích Ngọc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22367001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Phước Long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392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Võ Thị Bích Ngọc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22499000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10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Hòa Hưng 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661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Trần Đại Hưng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22437001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11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Thới</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252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6,500,000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Lê Trọng Tùng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22530000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12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An Phú Đông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369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Phan Nguyễn An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22604000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12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Đông Hưng Thuận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319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106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Phan Nguyễn An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22498001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12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Thới Hiệp</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453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151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Huỳnh Thị Mai Trinh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22586001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Tân Bình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Sơn Hòa</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772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257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34,757,250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Hoàng Đình Vũ</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22484000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Bình Tân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Tạo</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777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259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Phạm Huy Thiện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22409001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Tân Phú</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Phú</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489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163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18,000,000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Lê Trọng Tùng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2533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Gò Vấp</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Hạnh Thông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1,010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337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Nguyễn Hoàng Khánh Linh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22520001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Bình Thạnh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Thạnh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828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276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30,000,000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Trần Lệ Huyền Trân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Thay thế</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22975001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Huyện Bình Chánh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Vĩnh Lộc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347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116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Phạm Huy Thiện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Đủ hoạt động</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 tháng 08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Quận 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Cồng Kềnh Nội Đô</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352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117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40,000,000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Nguyễn Thị Hoàng Yến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 mới</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 tháng 08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Quận Phú Nhuận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Bưu Cục Cồng Kềnh Phú Nhuận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Nguyễn Hoàng Khánh Linh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 mới</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 tháng 08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Bình Tân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Cồng Kềnh Bình Tân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305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102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25,000,000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Võ Minh Tông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 mới</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 tháng 08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Huyện Bình Chánh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Bưu Cục Cồng Kềnh Bình Chánh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328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Nguyễn Thị Huyền Trinh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 mới</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 tháng 08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Thủ Đức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Cồng Kềnh TP. Thủ Đức 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475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158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18,000,000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Nguyễn Đoàn Anh Thư</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Mở mới</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 tháng 08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Thủ Đức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Bưu Cục Cồng Kềnh TP.Thủ Đức 02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453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151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18,000,000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Đoàn Ngọc Trung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Mở mới</w:t>
            </w:r>
          </w:p>
        </w:tc>
      </w:tr>
    </w:tbl>
    <w:p>
      <w:pPr>
        <w:spacing w:before="120" w:after="120"/>
        <w:jc w:val="center"/>
      </w:pPr>
      <w:r>
        <w:rPr>
          <w:rFonts w:ascii="Arial" w:hAnsi="Arial"/>
          <w:b w:val="0"/>
          <w:i w:val="0"/>
          <w:color w:val="C8C8C8"/>
          <w:sz w:val="20"/>
        </w:rPr>
        <w:t>━━━━━━━━━━━━━━━━━━━━━━━━━━━━━━━━━━━━━━━━</w:t>
      </w:r>
    </w:p>
    <w:p>
      <w:pPr>
        <w:keepNext/>
        <w:spacing w:before="200" w:after="80"/>
      </w:pPr>
      <w:r>
        <w:rPr>
          <w:rFonts w:ascii="Arial" w:hAnsi="Arial"/>
          <w:b/>
          <w:i w:val="0"/>
          <w:color w:val="2C3E50"/>
          <w:sz w:val="24"/>
        </w:rPr>
        <w:t>3.2 Xe Van</w:t>
      </w:r>
    </w:p>
    <w:p>
      <w:pPr>
        <w:keepNext/>
        <w:spacing w:before="160" w:after="40"/>
      </w:pPr>
      <w:r>
        <w:rPr>
          <w:rFonts w:ascii="Arial" w:hAnsi="Arial"/>
          <w:b/>
          <w:i/>
          <w:color w:val="2C3E50"/>
          <w:sz w:val="22"/>
        </w:rPr>
        <w:t>Tổng Quan Số Lượng &amp; Chi Phí</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Chỉ tiêu</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T10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T11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T12</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Xe đỉnh/ngày (planning)</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i w:val="0"/>
                <w:color w:val="2C3E50"/>
                <w:sz w:val="19"/>
              </w:rPr>
              <w:t>Xe bình quân/ngày</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53</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CP Vùng thuê xe Van NCC HCM</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1,638,043,200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1,820,048,000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1,892,849,920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2,111,255,680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2,074,854,720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2,184,057,600</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i w:val="0"/>
                <w:color w:val="2C3E50"/>
                <w:sz w:val="19"/>
              </w:rPr>
              <w:t>Cargo fee - Tải nội tỉnh - 5205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2,095,181,375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2,149,790,607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2,185,908,504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2,140,798,724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2,365,149,496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2,406,484,998</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Chênh lệch</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457,138,175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329,742,607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293,058,584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29,543,044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290,294,776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222,427,398</w:t>
            </w:r>
          </w:p>
        </w:tc>
      </w:tr>
    </w:tbl>
    <w:p>
      <w:pPr>
        <w:spacing w:before="0" w:after="120"/>
      </w:pPr>
      <w:r>
        <w:rPr>
          <w:rFonts w:ascii="Arial" w:hAnsi="Arial"/>
          <w:b w:val="0"/>
          <w:i w:val="0"/>
          <w:color w:val="2C3E50"/>
          <w:sz w:val="22"/>
        </w:rPr>
        <w:t>So sánh giữa AOP và chi phí Van thực tế, tới T12.2026, vùng sử dụng dự kiến ít hơn 222tr so với AOP được cấp.</w:t>
      </w:r>
    </w:p>
    <w:p>
      <w:pPr>
        <w:keepNext/>
        <w:spacing w:before="160" w:after="40"/>
      </w:pPr>
      <w:r>
        <w:rPr>
          <w:rFonts w:ascii="Arial" w:hAnsi="Arial"/>
          <w:b/>
          <w:i/>
          <w:color w:val="2C3E50"/>
          <w:sz w:val="22"/>
        </w:rPr>
        <w:t>Chi Tiết Từng Bưu Cục</w:t>
      </w:r>
    </w:p>
    <w:p>
      <w:pPr>
        <w:spacing w:before="0" w:after="120"/>
      </w:pPr>
      <w:r>
        <w:rPr>
          <w:rFonts w:ascii="Arial" w:hAnsi="Arial"/>
          <w:b w:val="0"/>
          <w:i w:val="0"/>
          <w:color w:val="2C3E50"/>
          <w:sz w:val="22"/>
        </w:rPr>
        <w:t>So sánh chi phí xe Van NCC (6-9m3) và Van GHN (13,5-14m3) thì hiện tại dùng xe Van NCC tối ưu hơn về phần chi phí 581tr/1 tháng/45 xe. Thể tích xe nhỏ đi được hẻm và chia ra nhiều lộ trình. Nên chốt là dùng xe Van NCC cho Vùng HCM đến cuối năm.</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STT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ID</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XE ĐỈNH/NGÀY THEO KHO/BC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T10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T11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T12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22604000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Đông Hưng Thuận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22530000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An Phú Đông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22498001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Thới Hiệp</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22370001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Hòa Hưng 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22499000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Hòa Hưng 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21296003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Long Bình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22367001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Phước Long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22437001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Bình Thới</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22520001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Thạnh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22494000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Bình Trưng 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22494001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Bình Trưng 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22586001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Sơn Hòa</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20124000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Hưng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22409001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Phú</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15</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2533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Hạnh Thông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4</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16</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21485000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Phú Thuận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3</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17</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22484000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(HCM) CK Tân Tạo</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3</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18</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22975001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(HCM) CK Tân Vĩnh Lộc</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19</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Processing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Cồng kềnh Nội Đô</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20</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Processing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Bưu Cục Cồng kềnh Phú Nhuận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Processing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Cồng kềnh Bình Tân</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Processing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Bưu Cục Cồng kềnh Bình Chánh</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23</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Processing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Bưu cục Cồng Kềnh TP. Thủ Đức 01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1</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2</w:t>
            </w:r>
          </w:p>
        </w:tc>
      </w:tr>
      <w:tr>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24</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Processing</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Bưu cục Cồng Kềnh TP. Thủ Đức 02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c>
          <w:tcPr>
            <w:tcW w:type="dxa" w:w="1040"/>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2</w:t>
            </w:r>
          </w:p>
        </w:tc>
      </w:tr>
    </w:tbl>
    <w:p>
      <w:pPr>
        <w:spacing w:before="120" w:after="120"/>
        <w:jc w:val="center"/>
      </w:pPr>
      <w:r>
        <w:rPr>
          <w:rFonts w:ascii="Arial" w:hAnsi="Arial"/>
          <w:b w:val="0"/>
          <w:i w:val="0"/>
          <w:color w:val="C8C8C8"/>
          <w:sz w:val="20"/>
        </w:rPr>
        <w:t>━━━━━━━━━━━━━━━━━━━━━━━━━━━━━━━━━━━━━━━━</w:t>
      </w:r>
    </w:p>
    <w:p>
      <w:pPr>
        <w:keepNext/>
        <w:spacing w:before="200" w:after="80"/>
      </w:pPr>
      <w:r>
        <w:rPr>
          <w:rFonts w:ascii="Arial" w:hAnsi="Arial"/>
          <w:b/>
          <w:i w:val="0"/>
          <w:color w:val="2C3E50"/>
          <w:sz w:val="24"/>
        </w:rPr>
        <w:t>3.3 Nhân Sự Và Năng Suất</w:t>
      </w:r>
    </w:p>
    <w:p>
      <w:pPr>
        <w:keepNext/>
        <w:spacing w:before="160" w:after="40"/>
      </w:pPr>
      <w:r>
        <w:rPr>
          <w:rFonts w:ascii="Arial" w:hAnsi="Arial"/>
          <w:b/>
          <w:i/>
          <w:color w:val="2C3E50"/>
          <w:sz w:val="22"/>
        </w:rPr>
        <w:t>Định Biên Nhân Sự</w:t>
      </w:r>
    </w:p>
    <w:p>
      <w:pPr>
        <w:spacing w:before="0" w:after="120"/>
      </w:pPr>
      <w:r>
        <w:rPr>
          <w:rFonts w:ascii="Arial" w:hAnsi="Arial"/>
          <w:b w:val="0"/>
          <w:i w:val="0"/>
          <w:color w:val="2C3E50"/>
          <w:sz w:val="22"/>
        </w:rPr>
        <w:t>Nhân sự được định biên theo sản lượng thực tế Topline. Dựa trên các thông số về năng suất nền và tăng cap tự nhiên 10%.</w:t>
      </w:r>
    </w:p>
    <w:p>
      <w:pPr>
        <w:keepNext/>
        <w:spacing w:before="160" w:after="40"/>
      </w:pPr>
      <w:r>
        <w:rPr>
          <w:rFonts w:ascii="Arial" w:hAnsi="Arial"/>
          <w:b/>
          <w:i/>
          <w:color w:val="2C3E50"/>
          <w:sz w:val="22"/>
        </w:rPr>
        <w:t>Năng Suất Chuyển Đổi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Chỉ Số</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7</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10</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11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26522" w:color="auto" w:val="clear"/>
          </w:tcPr>
          <w:p>
            <w:pPr>
              <w:spacing w:before="0" w:after="0"/>
              <w:jc w:val="left"/>
            </w:pPr>
            <w:r>
              <w:rPr>
                <w:rFonts w:ascii="Arial" w:hAnsi="Arial"/>
                <w:b w:val="0"/>
                <w:i w:val="0"/>
                <w:color w:val="FFFFFF"/>
                <w:sz w:val="20"/>
              </w:rPr>
              <w:t>Tháng 12</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Vol &gt;5Kg</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71,101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71,101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71,438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90,491</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81,538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85,156</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i w:val="0"/>
                <w:color w:val="2C3E50"/>
                <w:sz w:val="19"/>
              </w:rPr>
              <w:t>Cover bởi BC nhỏ</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48,349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48,349</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48,578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61,534</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55,446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57,906</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i w:val="0"/>
                <w:color w:val="2C3E50"/>
                <w:sz w:val="19"/>
              </w:rPr>
              <w:t>Cover bởi BCCK</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57,592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57,592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57,865</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73,298</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66,046</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FFFFF" w:color="auto" w:val="clear"/>
          </w:tcPr>
          <w:p>
            <w:pPr>
              <w:spacing w:before="0" w:after="0"/>
              <w:jc w:val="left"/>
            </w:pPr>
            <w:r>
              <w:rPr>
                <w:rFonts w:ascii="Arial" w:hAnsi="Arial"/>
                <w:b w:val="0"/>
                <w:i w:val="0"/>
                <w:color w:val="2C3E50"/>
                <w:sz w:val="19"/>
              </w:rPr>
              <w:t>68,976</w:t>
            </w:r>
          </w:p>
        </w:tc>
      </w:tr>
      <w:tr>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i w:val="0"/>
                <w:color w:val="2C3E50"/>
                <w:sz w:val="19"/>
              </w:rPr>
              <w:t>Tỷ lệ tăng thêm</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19.12%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19.12%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19.12%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19.12%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19.12%</w:t>
            </w:r>
          </w:p>
        </w:tc>
        <w:tc>
          <w:tcPr>
            <w:tcW w:type="dxa" w:w="1337"/>
            <w:vAlign w:val="center"/>
            <w:tcMar>
              <w:top w:w="100" w:type="dxa"/>
              <w:bottom w:w="100" w:type="dxa"/>
              <w:left w:w="150" w:type="dxa"/>
              <w:right w:w="150" w:type="dxa"/>
            </w:tcMar>
            <w:tcBorders>
              <w:top w:val="single" w:sz="4" w:color="BDC3C7"/>
              <w:left w:val="single" w:sz="4" w:color="BDC3C7"/>
              <w:bottom w:val="single" w:sz="4" w:color="BDC3C7"/>
              <w:right w:val="single" w:sz="4" w:color="BDC3C7"/>
            </w:tcBorders>
            <w:shd w:fill="F9FBFD" w:color="auto" w:val="clear"/>
          </w:tcPr>
          <w:p>
            <w:pPr>
              <w:spacing w:before="0" w:after="0"/>
              <w:jc w:val="left"/>
            </w:pPr>
            <w:r>
              <w:rPr>
                <w:rFonts w:ascii="Arial" w:hAnsi="Arial"/>
                <w:b w:val="0"/>
                <w:i w:val="0"/>
                <w:color w:val="2C3E50"/>
                <w:sz w:val="19"/>
              </w:rPr>
              <w:t>19.12%</w:t>
            </w:r>
          </w:p>
        </w:tc>
      </w:tr>
    </w:tbl>
    <w:p>
      <w:pPr>
        <w:pStyle w:val="ListBullet"/>
        <w:spacing w:before="0" w:after="60"/>
      </w:pPr>
      <w:r>
        <w:rPr>
          <w:rFonts w:ascii="Arial" w:hAnsi="Arial"/>
          <w:b w:val="0"/>
          <w:i w:val="0"/>
          <w:color w:val="2C3E50"/>
          <w:sz w:val="22"/>
        </w:rPr>
        <w:t>Tỷ lệ GTC nhóm hàng &gt;5Kg tại các Bưu cục nhỏ: 68%</w:t>
      </w:r>
    </w:p>
    <w:p>
      <w:pPr>
        <w:pStyle w:val="ListBullet"/>
        <w:spacing w:before="0" w:after="60"/>
      </w:pPr>
      <w:r>
        <w:rPr>
          <w:rFonts w:ascii="Arial" w:hAnsi="Arial"/>
          <w:b w:val="0"/>
          <w:i w:val="0"/>
          <w:color w:val="2C3E50"/>
          <w:sz w:val="22"/>
        </w:rPr>
        <w:t>Tỷ lệ GTC nhóm hàng &gt;5Kg tại các BCCK hiện hữu: 81%</w:t>
      </w:r>
    </w:p>
    <w:p>
      <w:pPr>
        <w:pStyle w:val="ListBullet"/>
        <w:spacing w:before="0" w:after="60"/>
      </w:pPr>
      <w:r>
        <w:rPr>
          <w:rFonts w:ascii="Arial" w:hAnsi="Arial"/>
          <w:b w:val="0"/>
          <w:i w:val="0"/>
          <w:color w:val="2C3E50"/>
          <w:sz w:val="22"/>
        </w:rPr>
        <w:t>Volume &gt;5kg dự kiến sẽ được cover thêm T12.2026: 85,156 đơn</w:t>
      </w:r>
    </w:p>
    <w:p>
      <w:pPr>
        <w:pStyle w:val="ListBullet"/>
        <w:spacing w:before="0" w:after="60"/>
      </w:pPr>
      <w:r>
        <w:rPr>
          <w:rFonts w:ascii="Arial" w:hAnsi="Arial"/>
          <w:b w:val="0"/>
          <w:i w:val="0"/>
          <w:color w:val="2C3E50"/>
          <w:sz w:val="22"/>
        </w:rPr>
        <w:t>Với việc mở rộng BCCCK, NVPTTT sẽ giảm thiểu thời gian quay đầu về bưu cục bằng hỗ trợ vận chuyển của Van. Với giả định %GTC theo các BCCK hiện hữu tới T12.2026, số đơn GTC mỗi tháng tăng thêm 11,070 đơn (Tương đương 19.12%).</w:t>
      </w:r>
    </w:p>
    <w:p>
      <w:pPr>
        <w:spacing w:before="120" w:after="120"/>
        <w:jc w:val="center"/>
      </w:pPr>
      <w:r>
        <w:rPr>
          <w:rFonts w:ascii="Arial" w:hAnsi="Arial"/>
          <w:b w:val="0"/>
          <w:i w:val="0"/>
          <w:color w:val="C8C8C8"/>
          <w:sz w:val="20"/>
        </w:rPr>
        <w:t>━━━━━━━━━━━━━━━━━━━━━━━━━━━━━━━━━━━━━━━━</w:t>
      </w:r>
    </w:p>
    <w:p>
      <w:pPr>
        <w:keepNext/>
        <w:spacing w:before="200" w:after="80"/>
      </w:pPr>
      <w:r>
        <w:rPr>
          <w:rFonts w:ascii="Arial" w:hAnsi="Arial"/>
          <w:b/>
          <w:i w:val="0"/>
          <w:color w:val="2C3E50"/>
          <w:sz w:val="24"/>
        </w:rPr>
        <w:t>3.4 Chi Phí</w:t>
      </w:r>
    </w:p>
    <w:p>
      <w:pPr>
        <w:keepNext/>
        <w:spacing w:before="160" w:after="40"/>
      </w:pPr>
      <w:r>
        <w:rPr>
          <w:rFonts w:ascii="Arial" w:hAnsi="Arial"/>
          <w:b/>
          <w:i/>
          <w:color w:val="2C3E50"/>
          <w:sz w:val="22"/>
        </w:rPr>
        <w:t>Cấu trúc chi phí</w:t>
      </w:r>
    </w:p>
    <w:p>
      <w:pPr>
        <w:pStyle w:val="ListBullet"/>
        <w:spacing w:before="0" w:after="60"/>
      </w:pPr>
      <w:r>
        <w:rPr>
          <w:rFonts w:ascii="Arial" w:hAnsi="Arial"/>
          <w:b/>
          <w:i w:val="0"/>
          <w:color w:val="2C3E50"/>
          <w:sz w:val="22"/>
        </w:rPr>
        <w:t>Chi phí xe Van NCC:</w:t>
      </w:r>
      <w:r>
        <w:rPr>
          <w:rFonts w:ascii="Arial" w:hAnsi="Arial"/>
          <w:b w:val="0"/>
          <w:i w:val="0"/>
          <w:color w:val="2C3E50"/>
          <w:sz w:val="22"/>
        </w:rPr>
        <w:t xml:space="preserve"> Xe BQ/ngày × 1,300,000đ × số ngày làm việc/tháng (30 ngày).</w:t>
      </w:r>
    </w:p>
    <w:p>
      <w:pPr>
        <w:pStyle w:val="ListBullet"/>
        <w:spacing w:before="0" w:after="60"/>
      </w:pPr>
      <w:r>
        <w:rPr>
          <w:rFonts w:ascii="Arial" w:hAnsi="Arial"/>
          <w:b/>
          <w:i w:val="0"/>
          <w:color w:val="2C3E50"/>
          <w:sz w:val="22"/>
        </w:rPr>
        <w:t>Chi phí nhân sự van (hàng vừa):</w:t>
      </w:r>
      <w:r>
        <w:rPr>
          <w:rFonts w:ascii="Arial" w:hAnsi="Arial"/>
          <w:b w:val="0"/>
          <w:i w:val="0"/>
          <w:color w:val="2C3E50"/>
          <w:sz w:val="22"/>
        </w:rPr>
        <w:t xml:space="preserve"> số người van × 22,000,000đ/người/tháng.</w:t>
      </w:r>
    </w:p>
    <w:p>
      <w:pPr>
        <w:pStyle w:val="ListBullet"/>
        <w:spacing w:before="0" w:after="60"/>
      </w:pPr>
      <w:r>
        <w:rPr>
          <w:rFonts w:ascii="Arial" w:hAnsi="Arial"/>
          <w:b/>
          <w:i w:val="0"/>
          <w:color w:val="2C3E50"/>
          <w:sz w:val="22"/>
        </w:rPr>
        <w:t>Chi phí thuê mặt bằng:</w:t>
      </w:r>
      <w:r>
        <w:rPr>
          <w:rFonts w:ascii="Arial" w:hAnsi="Arial"/>
          <w:b w:val="0"/>
          <w:i w:val="0"/>
          <w:color w:val="2C3E50"/>
          <w:sz w:val="22"/>
        </w:rPr>
        <w:t xml:space="preserve"> (m² hàng nặng + m² hàng vừa) × 166,000đ/m²/tháng.</w:t>
      </w:r>
    </w:p>
    <w:p>
      <w:pPr>
        <w:pStyle w:val="ListBullet"/>
        <w:spacing w:before="0" w:after="60"/>
      </w:pPr>
      <w:r>
        <w:rPr>
          <w:rFonts w:ascii="Arial" w:hAnsi="Arial"/>
          <w:b w:val="0"/>
          <w:i/>
          <w:color w:val="2C3E50"/>
          <w:sz w:val="22"/>
        </w:rPr>
        <w:t>Chưa bao gồm chi phí nhân sự kho &amp; quản lý cố định theo từng BCCK.</w:t>
      </w:r>
    </w:p>
    <w:p>
      <w:pPr>
        <w:keepNext/>
        <w:spacing w:before="160" w:after="40"/>
      </w:pPr>
      <w:r>
        <w:rPr>
          <w:rFonts w:ascii="Arial" w:hAnsi="Arial"/>
          <w:b/>
          <w:i/>
          <w:color w:val="2C3E50"/>
          <w:sz w:val="22"/>
        </w:rPr>
        <w:t>Ước tính chi phí theo tháng (VND)</w:t>
      </w:r>
    </w:p>
    <w:p>
      <w:pPr>
        <w:spacing w:before="0" w:after="120"/>
      </w:pPr>
      <w:r>
        <w:rPr>
          <w:rFonts w:ascii="Arial" w:hAnsi="Arial"/>
          <w:b w:val="0"/>
          <w:i/>
          <w:color w:val="2C3E50"/>
          <w:sz w:val="22"/>
        </w:rPr>
        <w:t>(Mục này trống trong tài liệu gốc)</w:t>
      </w:r>
    </w:p>
    <w:p>
      <w:pPr>
        <w:spacing w:before="120" w:after="120"/>
        <w:jc w:val="center"/>
      </w:pPr>
      <w:r>
        <w:rPr>
          <w:rFonts w:ascii="Arial" w:hAnsi="Arial"/>
          <w:b w:val="0"/>
          <w:i w:val="0"/>
          <w:color w:val="C8C8C8"/>
          <w:sz w:val="20"/>
        </w:rPr>
        <w:t>━━━━━━━━━━━━━━━━━━━━━━━━━━━━━━━━━━━━━━━━</w:t>
      </w:r>
    </w:p>
    <w:p>
      <w:pPr>
        <w:keepNext/>
        <w:spacing w:before="240" w:after="80"/>
      </w:pPr>
      <w:r>
        <w:rPr>
          <w:rFonts w:ascii="Arial" w:hAnsi="Arial"/>
          <w:b/>
          <w:i w:val="0"/>
          <w:color w:val="0072BC"/>
          <w:sz w:val="28"/>
        </w:rPr>
        <w:t>IV. TIMELINE NHẬN BÀN GIAO GXT</w:t>
      </w:r>
    </w:p>
    <w:p>
      <w:pPr>
        <w:spacing w:before="0" w:after="120"/>
      </w:pPr>
      <w:r>
        <w:rPr>
          <w:rFonts w:ascii="Arial" w:hAnsi="Arial"/>
          <w:b/>
          <w:i w:val="0"/>
          <w:color w:val="2C3E50"/>
          <w:sz w:val="22"/>
        </w:rPr>
        <w:t>Đối với 68 tuyến GXT chuyển 100% hàng từ 15-20kg:</w:t>
      </w:r>
    </w:p>
    <w:p>
      <w:pPr>
        <w:pStyle w:val="ListBullet"/>
        <w:spacing w:before="0" w:after="60"/>
      </w:pPr>
      <w:r>
        <w:rPr>
          <w:rFonts w:ascii="Arial" w:hAnsi="Arial"/>
          <w:b w:val="0"/>
          <w:i w:val="0"/>
          <w:color w:val="2C3E50"/>
          <w:sz w:val="22"/>
        </w:rPr>
        <w:t xml:space="preserve">Các tuyến có BC Cồng Kềnh cover: Tiếp nhận từ </w:t>
      </w:r>
      <w:r>
        <w:rPr>
          <w:rFonts w:ascii="Arial" w:hAnsi="Arial"/>
          <w:b/>
          <w:i w:val="0"/>
          <w:color w:val="2C3E50"/>
          <w:sz w:val="22"/>
        </w:rPr>
        <w:t>16.07.2026</w:t>
      </w:r>
    </w:p>
    <w:p>
      <w:pPr>
        <w:pStyle w:val="ListBullet"/>
        <w:spacing w:before="0" w:after="60"/>
      </w:pPr>
      <w:r>
        <w:rPr>
          <w:rFonts w:ascii="Arial" w:hAnsi="Arial"/>
          <w:b w:val="0"/>
          <w:i w:val="0"/>
          <w:color w:val="2C3E50"/>
          <w:sz w:val="22"/>
        </w:rPr>
        <w:t xml:space="preserve">Các tuyến chưa có BC Cồng Kềnh cover: Tiếp nhận từ </w:t>
      </w:r>
      <w:r>
        <w:rPr>
          <w:rFonts w:ascii="Arial" w:hAnsi="Arial"/>
          <w:b/>
          <w:i w:val="0"/>
          <w:color w:val="2C3E50"/>
          <w:sz w:val="22"/>
        </w:rPr>
        <w:t>16.08.2026</w:t>
      </w:r>
    </w:p>
    <w:p>
      <w:pPr>
        <w:spacing w:before="0" w:after="120"/>
      </w:pPr>
      <w:r>
        <w:rPr>
          <w:rFonts w:ascii="Arial" w:hAnsi="Arial"/>
          <w:b/>
          <w:i w:val="0"/>
          <w:color w:val="2C3E50"/>
          <w:sz w:val="22"/>
        </w:rPr>
        <w:t>Đối với các tuyến còn lại vùng đã phục vụ tới 20kg hoặc song song 2 bên:</w:t>
      </w:r>
    </w:p>
    <w:p>
      <w:pPr>
        <w:spacing w:before="0" w:after="120"/>
      </w:pPr>
      <w:r>
        <w:rPr>
          <w:rFonts w:ascii="Arial" w:hAnsi="Arial"/>
          <w:b w:val="0"/>
          <w:i w:val="0"/>
          <w:color w:val="2C3E50"/>
          <w:sz w:val="22"/>
        </w:rPr>
        <w:t>Vùng nhận lại sản lượng dưới 20kg, cụ thể:</w:t>
      </w:r>
    </w:p>
    <w:p>
      <w:pPr>
        <w:pStyle w:val="ListBullet"/>
        <w:spacing w:before="0" w:after="60"/>
      </w:pPr>
      <w:r>
        <w:rPr>
          <w:rFonts w:ascii="Arial" w:hAnsi="Arial"/>
          <w:b w:val="0"/>
          <w:i w:val="0"/>
          <w:color w:val="2C3E50"/>
          <w:sz w:val="22"/>
        </w:rPr>
        <w:t xml:space="preserve">Các tuyến có BC Cồng Kềnh cover: Tiếp nhận từ </w:t>
      </w:r>
      <w:r>
        <w:rPr>
          <w:rFonts w:ascii="Arial" w:hAnsi="Arial"/>
          <w:b/>
          <w:i w:val="0"/>
          <w:color w:val="2C3E50"/>
          <w:sz w:val="22"/>
        </w:rPr>
        <w:t>16.06.2026</w:t>
      </w:r>
    </w:p>
    <w:p>
      <w:pPr>
        <w:pStyle w:val="ListBullet"/>
        <w:spacing w:before="0" w:after="60"/>
      </w:pPr>
      <w:r>
        <w:rPr>
          <w:rFonts w:ascii="Arial" w:hAnsi="Arial"/>
          <w:b w:val="0"/>
          <w:i w:val="0"/>
          <w:color w:val="2C3E50"/>
          <w:sz w:val="22"/>
        </w:rPr>
        <w:t xml:space="preserve">Các tuyến dự kiến mở hàng vừa trong T07.2026 hoặc Vol dưới 30 đơn/ngày: Tiếp nhận từ </w:t>
      </w:r>
      <w:r>
        <w:rPr>
          <w:rFonts w:ascii="Arial" w:hAnsi="Arial"/>
          <w:b/>
          <w:i w:val="0"/>
          <w:color w:val="2C3E50"/>
          <w:sz w:val="22"/>
        </w:rPr>
        <w:t>16.07.2026</w:t>
      </w:r>
    </w:p>
    <w:p>
      <w:pPr>
        <w:pStyle w:val="ListBullet"/>
        <w:spacing w:before="0" w:after="60"/>
      </w:pPr>
      <w:r>
        <w:rPr>
          <w:rFonts w:ascii="Arial" w:hAnsi="Arial"/>
          <w:b w:val="0"/>
          <w:i w:val="0"/>
          <w:color w:val="2C3E50"/>
          <w:sz w:val="22"/>
        </w:rPr>
        <w:t xml:space="preserve">Các tuyến dự kiến mở hàng vừa trong T08.2026 và còn lại: </w:t>
      </w:r>
      <w:r>
        <w:rPr>
          <w:rFonts w:ascii="Arial" w:hAnsi="Arial"/>
          <w:b/>
          <w:i w:val="0"/>
          <w:color w:val="2C3E50"/>
          <w:sz w:val="22"/>
        </w:rPr>
        <w:t>16.08.2026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