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B365D"/>
          <w:sz w:val="32"/>
        </w:rPr>
        <w:t>GHN — VÙNG NAM TRUNG BỘ (NTB)</w:t>
      </w:r>
    </w:p>
    <w:p>
      <w:pPr>
        <w:spacing w:before="0" w:after="40"/>
        <w:jc w:val="center"/>
      </w:pPr>
      <w:r>
        <w:rPr>
          <w:rFonts w:ascii="Arial" w:hAnsi="Arial"/>
          <w:b/>
          <w:i w:val="0"/>
          <w:color w:val="0072BC"/>
          <w:sz w:val="28"/>
        </w:rPr>
        <w:t>AOP EVENT 8.8</w:t>
      </w:r>
    </w:p>
    <w:p>
      <w:pPr>
        <w:spacing w:before="0" w:after="40"/>
        <w:jc w:val="center"/>
      </w:pPr>
      <w:r>
        <w:rPr>
          <w:rFonts w:ascii="Arial" w:hAnsi="Arial"/>
          <w:b/>
          <w:i w:val="0"/>
          <w:color w:val="000000"/>
          <w:sz w:val="24"/>
        </w:rPr>
        <w:t>KẾ HOẠCH VẬN HÀNH EVENT 8.8</w:t>
      </w:r>
    </w:p>
    <w:p>
      <w:pPr>
        <w:spacing w:before="0" w:after="240"/>
        <w:jc w:val="center"/>
      </w:pPr>
      <w:r>
        <w:rPr>
          <w:rFonts w:ascii="Arial" w:hAnsi="Arial"/>
          <w:b w:val="0"/>
          <w:i/>
          <w:color w:val="595959"/>
          <w:sz w:val="20"/>
        </w:rPr>
        <w:t>(Tháng 8/2026)</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Vùng</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NTB — Nam Trung Bộ</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Giám đốc Vùng (GĐV)</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Nguyễn Văn A</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Người lập</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Phòng Vận Hành Vùng NTB</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Ngày lập</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30/07/2026</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Phạm vi vận hành</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Toàn bộ Bưu cục &amp; Kho Sorting Vùng Nam Trung Bộ</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Khung thời gian</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Event 08/08 (06/08 - 15/08/2026)</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Tỉnh/thành phố</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Khánh Hòa, Bình Thuận, Lâm Đồng, Ninh Thuận, Đắk Nông</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Nguồn volume</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config_psbba_NTB.xlsx</w:t>
            </w:r>
          </w:p>
        </w:tc>
      </w:tr>
      <w:tr>
        <w:tc>
          <w:tcPr>
            <w:tcW w:type="dxa" w:w="4968"/>
            <w:shd w:fill="D9E1E8"/>
            <w:tcMar>
              <w:top w:w="80" w:type="dxa"/>
              <w:bottom w:w="80" w:type="dxa"/>
              <w:left w:w="100" w:type="dxa"/>
              <w:right w:w="100" w:type="dxa"/>
            </w:tcMar>
          </w:tcPr>
          <w:p>
            <w:pPr>
              <w:spacing w:before="40" w:after="40"/>
              <w:jc w:val="left"/>
            </w:pPr>
            <w:r>
              <w:rPr>
                <w:rFonts w:ascii="Arial" w:hAnsi="Arial"/>
                <w:b/>
                <w:i w:val="0"/>
                <w:color w:val="000000"/>
                <w:sz w:val="19"/>
              </w:rPr>
              <w:t>Tài liệu kèm theo</w:t>
            </w:r>
          </w:p>
        </w:tc>
        <w:tc>
          <w:tcPr>
            <w:tcW w:type="dxa" w:w="4968"/>
            <w:shd w:fill="FFFFFF"/>
            <w:tcMar>
              <w:top w:w="80" w:type="dxa"/>
              <w:bottom w:w="80" w:type="dxa"/>
              <w:left w:w="100" w:type="dxa"/>
              <w:right w:w="100" w:type="dxa"/>
            </w:tcMar>
          </w:tcPr>
          <w:p>
            <w:pPr>
              <w:spacing w:before="40" w:after="40"/>
              <w:jc w:val="left"/>
            </w:pPr>
            <w:r>
              <w:rPr>
                <w:rFonts w:ascii="Arial" w:hAnsi="Arial"/>
                <w:b w:val="0"/>
                <w:i w:val="0"/>
                <w:color w:val="000000"/>
                <w:sz w:val="19"/>
              </w:rPr>
              <w:t>[NTB] Kế Hoạch Event 8.8 &amp; Sorting KTC 2026</w:t>
            </w:r>
          </w:p>
        </w:tc>
      </w:tr>
    </w:tbl>
    <w:p>
      <w:pPr>
        <w:spacing w:before="0" w:after="200"/>
        <w:jc w:val="left"/>
      </w:pPr>
    </w:p>
    <w:p>
      <w:pPr>
        <w:keepNext/>
        <w:spacing w:before="280" w:after="120"/>
      </w:pPr>
      <w:r>
        <w:rPr>
          <w:rFonts w:ascii="Arial" w:hAnsi="Arial"/>
          <w:b/>
          <w:color w:val="000000"/>
          <w:sz w:val="26"/>
        </w:rPr>
        <w:t>I. TÓM TẮT ĐIỀU HÀNH</w:t>
      </w:r>
    </w:p>
    <w:p>
      <w:pPr>
        <w:spacing w:before="0" w:after="80"/>
        <w:jc w:val="left"/>
      </w:pPr>
      <w:r>
        <w:rPr>
          <w:rFonts w:ascii="Arial" w:hAnsi="Arial"/>
          <w:b w:val="0"/>
          <w:i w:val="0"/>
          <w:color w:val="000000"/>
          <w:sz w:val="21"/>
        </w:rPr>
        <w:t>Trong kỳ Event 8.8 năm 2026, Vùng Nam Trung Bộ (NTB) dự báo tiếp nhận tổng sản lượng lấy đạt 583.479 đơn và tổng sản lượng giao đạt 752.961 đơn trong 10 ngày cao điểm từ 06/08 đến 15/08/2026.</w:t>
      </w:r>
    </w:p>
    <w:p>
      <w:pPr>
        <w:spacing w:before="0" w:after="80"/>
        <w:jc w:val="left"/>
      </w:pPr>
      <w:r>
        <w:rPr>
          <w:rFonts w:ascii="Arial" w:hAnsi="Arial"/>
          <w:b w:val="0"/>
          <w:i w:val="0"/>
          <w:color w:val="000000"/>
          <w:sz w:val="21"/>
        </w:rPr>
        <w:t>Ngày Peak 08/08 ghi nhận sản lượng đỉnh điểm với 69,822 đơn Lấy (+19.66% so với trung bình) và 97,649 đơn Giao (+29.69% so với trung bình). Toàn vùng tập trung tối đa nguồn lực tại 5 Kho Trung Chuyển / Chuyển Tiếp và 82 bưu cục địa bàn.</w:t>
      </w:r>
    </w:p>
    <w:p>
      <w:pPr>
        <w:keepNext/>
        <w:spacing w:before="280" w:after="120"/>
      </w:pPr>
      <w:r>
        <w:rPr>
          <w:rFonts w:ascii="Arial" w:hAnsi="Arial"/>
          <w:b/>
          <w:color w:val="000000"/>
          <w:sz w:val="26"/>
        </w:rPr>
        <w:t>II. BỐI CẢNH VÀ MỤC TIÊU VẬN HÀNH</w:t>
      </w:r>
    </w:p>
    <w:p>
      <w:pPr>
        <w:keepNext/>
        <w:spacing w:before="200" w:after="80"/>
      </w:pPr>
      <w:r>
        <w:rPr>
          <w:rFonts w:ascii="Arial" w:hAnsi="Arial"/>
          <w:b/>
          <w:color w:val="000000"/>
          <w:sz w:val="23"/>
        </w:rPr>
        <w:t>2.1 Bối Cảnh</w:t>
      </w:r>
    </w:p>
    <w:p>
      <w:pPr>
        <w:keepNext/>
        <w:spacing w:before="160" w:after="60"/>
      </w:pPr>
      <w:r>
        <w:rPr>
          <w:rFonts w:ascii="Arial" w:hAnsi="Arial"/>
          <w:b/>
          <w:color w:val="0072BC"/>
          <w:sz w:val="22"/>
        </w:rPr>
        <w:t>Xu hướng tăng trưởng Event 8.8</w:t>
      </w:r>
    </w:p>
    <w:p>
      <w:pPr>
        <w:spacing w:before="0" w:after="80"/>
        <w:jc w:val="left"/>
      </w:pPr>
      <w:r>
        <w:rPr>
          <w:rFonts w:ascii="Arial" w:hAnsi="Arial"/>
          <w:b w:val="0"/>
          <w:i w:val="0"/>
          <w:color w:val="000000"/>
          <w:sz w:val="21"/>
        </w:rPr>
        <w:t>Trong kỳ Event 8.8, cơ cấu sản lượng Vùng NTB ghi nhận sự bứt phá mạnh từ các Sàn TMĐT chủ lực Shopee, SME và TTS.</w:t>
      </w:r>
    </w:p>
    <w:p>
      <w:pPr>
        <w:spacing w:before="0" w:after="80"/>
        <w:jc w:val="left"/>
      </w:pPr>
      <w:r>
        <w:rPr>
          <w:rFonts w:ascii="Arial" w:hAnsi="Arial"/>
          <w:b w:val="0"/>
          <w:i w:val="0"/>
          <w:color w:val="000000"/>
          <w:sz w:val="21"/>
        </w:rPr>
        <w:t>• Cần kiểm soát chặt chẽ tiến độ Lấy &amp; Giao tại các tỉnh trọng điểm Khánh Hòa, Lâm Đồng &amp; Bình Thuận.</w:t>
      </w:r>
    </w:p>
    <w:p>
      <w:pPr>
        <w:spacing w:before="0" w:after="80"/>
        <w:jc w:val="left"/>
      </w:pPr>
      <w:r>
        <w:rPr>
          <w:rFonts w:ascii="Arial" w:hAnsi="Arial"/>
          <w:b w:val="0"/>
          <w:i w:val="0"/>
          <w:color w:val="000000"/>
          <w:sz w:val="21"/>
        </w:rPr>
        <w:t>• Đảm bảo chỉ tiêu SLA vận hành trên 98.5% toàn vùng.</w:t>
      </w:r>
    </w:p>
    <w:p>
      <w:pPr>
        <w:keepNext/>
        <w:spacing w:before="200" w:after="80"/>
      </w:pPr>
      <w:r>
        <w:rPr>
          <w:rFonts w:ascii="Arial" w:hAnsi="Arial"/>
          <w:b/>
          <w:color w:val="000000"/>
          <w:sz w:val="23"/>
        </w:rPr>
        <w:t>1. Volume Lấy</w:t>
      </w:r>
    </w:p>
    <w:p>
      <w:pPr>
        <w:spacing w:before="120" w:after="80"/>
        <w:jc w:val="center"/>
      </w:pPr>
      <w:r>
        <w:drawing>
          <wp:inline xmlns:a="http://schemas.openxmlformats.org/drawingml/2006/main" xmlns:pic="http://schemas.openxmlformats.org/drawingml/2006/picture">
            <wp:extent cx="5760720" cy="2848356"/>
            <wp:docPr id="1" name="Picture 1"/>
            <wp:cNvGraphicFramePr>
              <a:graphicFrameLocks noChangeAspect="1"/>
            </wp:cNvGraphicFramePr>
            <a:graphic>
              <a:graphicData uri="http://schemas.openxmlformats.org/drawingml/2006/picture">
                <pic:pic>
                  <pic:nvPicPr>
                    <pic:cNvPr id="0" name="ghn_combo_lay.png"/>
                    <pic:cNvPicPr/>
                  </pic:nvPicPr>
                  <pic:blipFill>
                    <a:blip r:embed="rId11"/>
                    <a:stretch>
                      <a:fillRect/>
                    </a:stretch>
                  </pic:blipFill>
                  <pic:spPr>
                    <a:xfrm>
                      <a:off x="0" y="0"/>
                      <a:ext cx="5760720" cy="2848356"/>
                    </a:xfrm>
                    <a:prstGeom prst="rect"/>
                  </pic:spPr>
                </pic:pic>
              </a:graphicData>
            </a:graphic>
          </wp:inline>
        </w:drawing>
      </w:r>
    </w:p>
    <w:p>
      <w:pPr>
        <w:spacing w:after="200"/>
        <w:jc w:val="center"/>
      </w:pPr>
      <w:r>
        <w:rPr>
          <w:rFonts w:ascii="Arial" w:hAnsi="Arial"/>
          <w:i/>
          <w:color w:val="595959"/>
          <w:sz w:val="18"/>
        </w:rPr>
        <w:t>Biểu đồ 1: Tổng quan Volume Lấy Event 08.08 (Style GHN Corporate)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903"/>
        <w:gridCol w:w="903"/>
        <w:gridCol w:w="903"/>
        <w:gridCol w:w="903"/>
        <w:gridCol w:w="903"/>
        <w:gridCol w:w="903"/>
        <w:gridCol w:w="903"/>
        <w:gridCol w:w="903"/>
        <w:gridCol w:w="903"/>
        <w:gridCol w:w="903"/>
        <w:gridCol w:w="903"/>
      </w:tblGrid>
      <w:tr>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Sàn</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06/08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07/08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08/08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09/08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10/08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11/08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12/08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13/08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14/08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15/08</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Shopee</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2,263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1,830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4,155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1,969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3,282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2,484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2,625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2,212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2,227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2,357</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Shopee-Bulky</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184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197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679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533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529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283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179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195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170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378</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Shopee-Bulky (10-15kg)</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479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289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272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176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223</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SME</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10,139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10,495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10,911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8,353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11,321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10,417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10,166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10,139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10,495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10,215</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SME-Bulky</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364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276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486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469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433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398</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TTS</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4,104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4,337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4,546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3,110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4,045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3,403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3,366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3,876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4,133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4,066</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TTS-Bulky</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150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166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102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166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155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135</w:t>
            </w:r>
          </w:p>
        </w:tc>
      </w:tr>
      <w:tr>
        <w:tc>
          <w:tcPr>
            <w:tcW w:type="dxa" w:w="903"/>
            <w:shd w:fill="E2E7EC"/>
            <w:tcMar>
              <w:top w:w="80" w:type="dxa"/>
              <w:bottom w:w="80" w:type="dxa"/>
              <w:left w:w="100" w:type="dxa"/>
              <w:right w:w="100" w:type="dxa"/>
            </w:tcMar>
          </w:tcPr>
          <w:p>
            <w:pPr>
              <w:spacing w:before="40" w:after="40"/>
              <w:jc w:val="left"/>
            </w:pPr>
            <w:r>
              <w:rPr>
                <w:rFonts w:ascii="Arial" w:hAnsi="Arial"/>
                <w:b/>
                <w:i w:val="0"/>
                <w:color w:val="000000"/>
                <w:sz w:val="17"/>
              </w:rPr>
              <w:t>Grand Total</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17,344</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17,540</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21,270</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14,632</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20,101</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17,362</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16,992</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17,063</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17,683</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17,772</w:t>
            </w:r>
          </w:p>
        </w:tc>
      </w:tr>
    </w:tbl>
    <w:p>
      <w:pPr>
        <w:spacing w:before="0" w:after="160"/>
        <w:jc w:val="left"/>
      </w:pPr>
    </w:p>
    <w:p>
      <w:pPr>
        <w:keepNext/>
        <w:spacing w:before="200" w:after="80"/>
      </w:pPr>
      <w:r>
        <w:rPr>
          <w:rFonts w:ascii="Arial" w:hAnsi="Arial"/>
          <w:b/>
          <w:color w:val="000000"/>
          <w:sz w:val="23"/>
        </w:rPr>
        <w:t>2. Volume Giao</w:t>
      </w:r>
    </w:p>
    <w:p>
      <w:pPr>
        <w:spacing w:before="120" w:after="80"/>
        <w:jc w:val="center"/>
      </w:pPr>
      <w:r>
        <w:drawing>
          <wp:inline xmlns:a="http://schemas.openxmlformats.org/drawingml/2006/main" xmlns:pic="http://schemas.openxmlformats.org/drawingml/2006/picture">
            <wp:extent cx="5760720" cy="2851265"/>
            <wp:docPr id="2" name="Picture 2"/>
            <wp:cNvGraphicFramePr>
              <a:graphicFrameLocks noChangeAspect="1"/>
            </wp:cNvGraphicFramePr>
            <a:graphic>
              <a:graphicData uri="http://schemas.openxmlformats.org/drawingml/2006/picture">
                <pic:pic>
                  <pic:nvPicPr>
                    <pic:cNvPr id="0" name="ghn_combo_giao.png"/>
                    <pic:cNvPicPr/>
                  </pic:nvPicPr>
                  <pic:blipFill>
                    <a:blip r:embed="rId12"/>
                    <a:stretch>
                      <a:fillRect/>
                    </a:stretch>
                  </pic:blipFill>
                  <pic:spPr>
                    <a:xfrm>
                      <a:off x="0" y="0"/>
                      <a:ext cx="5760720" cy="2851265"/>
                    </a:xfrm>
                    <a:prstGeom prst="rect"/>
                  </pic:spPr>
                </pic:pic>
              </a:graphicData>
            </a:graphic>
          </wp:inline>
        </w:drawing>
      </w:r>
    </w:p>
    <w:p>
      <w:pPr>
        <w:spacing w:after="200"/>
        <w:jc w:val="center"/>
      </w:pPr>
      <w:r>
        <w:rPr>
          <w:rFonts w:ascii="Arial" w:hAnsi="Arial"/>
          <w:i/>
          <w:color w:val="595959"/>
          <w:sz w:val="18"/>
        </w:rPr>
        <w:t>Biểu đồ 2: Tổng quan Volume Giao Event 08.08 (Style GHN Corporate)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903"/>
        <w:gridCol w:w="903"/>
        <w:gridCol w:w="903"/>
        <w:gridCol w:w="903"/>
        <w:gridCol w:w="903"/>
        <w:gridCol w:w="903"/>
        <w:gridCol w:w="903"/>
        <w:gridCol w:w="903"/>
        <w:gridCol w:w="903"/>
        <w:gridCol w:w="903"/>
        <w:gridCol w:w="903"/>
      </w:tblGrid>
      <w:tr>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Sàn</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06/08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07/08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08/08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09/08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10/08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11/08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12/08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13/08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14/08</w:t>
            </w:r>
          </w:p>
        </w:tc>
        <w:tc>
          <w:tcPr>
            <w:tcW w:type="dxa" w:w="903"/>
            <w:shd w:fill="D9E1E8"/>
            <w:tcMar>
              <w:top w:w="80" w:type="dxa"/>
              <w:bottom w:w="80" w:type="dxa"/>
              <w:left w:w="100" w:type="dxa"/>
              <w:right w:w="100" w:type="dxa"/>
            </w:tcMar>
          </w:tcPr>
          <w:p>
            <w:pPr>
              <w:spacing w:before="40" w:after="40"/>
              <w:jc w:val="center"/>
            </w:pPr>
            <w:r>
              <w:rPr>
                <w:rFonts w:ascii="Arial" w:hAnsi="Arial"/>
                <w:b/>
                <w:i w:val="0"/>
                <w:color w:val="000000"/>
                <w:sz w:val="17"/>
              </w:rPr>
              <w:t>15/08</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Shopee</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14,964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12,090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33,036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12,642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22,526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16,427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17,352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14,667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14,722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19,582</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Shopee-Bulky</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2,379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2,470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7,021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3,998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6,012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3,426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2,388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2,325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2,251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5,147</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Shopee-Bulky (10-15kg)</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1,304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1,354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5,254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2,163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3,136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1,877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1,305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1,276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1,230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2,903</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SME</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22,391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23,184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23,334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18,439</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24,985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23,010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22,460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22,391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23,184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22,553</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SME-Bulky</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1,446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1,447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1,341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910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1,628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1,567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1,516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1,446</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1,447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1,354</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TTS</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12,085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12,738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13,492</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9,200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11,904</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9,998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9,888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11,317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12,157</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11,980</w:t>
            </w:r>
          </w:p>
        </w:tc>
      </w:tr>
      <w:tr>
        <w:tc>
          <w:tcPr>
            <w:tcW w:type="dxa" w:w="903"/>
            <w:tcMar>
              <w:top w:w="80" w:type="dxa"/>
              <w:bottom w:w="80" w:type="dxa"/>
              <w:left w:w="100" w:type="dxa"/>
              <w:right w:w="100" w:type="dxa"/>
            </w:tcMar>
          </w:tcPr>
          <w:p>
            <w:pPr>
              <w:spacing w:before="40" w:after="40"/>
              <w:jc w:val="left"/>
            </w:pPr>
            <w:r>
              <w:rPr>
                <w:rFonts w:ascii="Arial" w:hAnsi="Arial"/>
                <w:b w:val="0"/>
                <w:i w:val="0"/>
                <w:color w:val="000000"/>
                <w:sz w:val="17"/>
              </w:rPr>
              <w:t>TTS-Bulky</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318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343</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400</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225</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361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281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278</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291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321</w:t>
            </w:r>
          </w:p>
        </w:tc>
        <w:tc>
          <w:tcPr>
            <w:tcW w:type="dxa" w:w="903"/>
            <w:tcMar>
              <w:top w:w="80" w:type="dxa"/>
              <w:bottom w:w="80" w:type="dxa"/>
              <w:left w:w="100" w:type="dxa"/>
              <w:right w:w="100" w:type="dxa"/>
            </w:tcMar>
          </w:tcPr>
          <w:p>
            <w:pPr>
              <w:spacing w:before="40" w:after="40"/>
              <w:jc w:val="right"/>
            </w:pPr>
            <w:r>
              <w:rPr>
                <w:rFonts w:ascii="Arial" w:hAnsi="Arial"/>
                <w:b w:val="0"/>
                <w:i w:val="0"/>
                <w:color w:val="000000"/>
                <w:sz w:val="17"/>
              </w:rPr>
              <w:t>311</w:t>
            </w:r>
          </w:p>
        </w:tc>
      </w:tr>
      <w:tr>
        <w:tc>
          <w:tcPr>
            <w:tcW w:type="dxa" w:w="903"/>
            <w:shd w:fill="E2E7EC"/>
            <w:tcMar>
              <w:top w:w="80" w:type="dxa"/>
              <w:bottom w:w="80" w:type="dxa"/>
              <w:left w:w="100" w:type="dxa"/>
              <w:right w:w="100" w:type="dxa"/>
            </w:tcMar>
          </w:tcPr>
          <w:p>
            <w:pPr>
              <w:spacing w:before="40" w:after="40"/>
              <w:jc w:val="left"/>
            </w:pPr>
            <w:r>
              <w:rPr>
                <w:rFonts w:ascii="Arial" w:hAnsi="Arial"/>
                <w:b/>
                <w:i w:val="0"/>
                <w:color w:val="000000"/>
                <w:sz w:val="17"/>
              </w:rPr>
              <w:t>Grand Total</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54,887</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53,626</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83,878</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47,577</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70,552</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56,586</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55,187</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53,713</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55,312</w:t>
            </w:r>
          </w:p>
        </w:tc>
        <w:tc>
          <w:tcPr>
            <w:tcW w:type="dxa" w:w="903"/>
            <w:shd w:fill="E2E7EC"/>
            <w:tcMar>
              <w:top w:w="80" w:type="dxa"/>
              <w:bottom w:w="80" w:type="dxa"/>
              <w:left w:w="100" w:type="dxa"/>
              <w:right w:w="100" w:type="dxa"/>
            </w:tcMar>
          </w:tcPr>
          <w:p>
            <w:pPr>
              <w:spacing w:before="40" w:after="40"/>
              <w:jc w:val="right"/>
            </w:pPr>
            <w:r>
              <w:rPr>
                <w:rFonts w:ascii="Arial" w:hAnsi="Arial"/>
                <w:b/>
                <w:i w:val="0"/>
                <w:color w:val="000000"/>
                <w:sz w:val="17"/>
              </w:rPr>
              <w:t>63,830</w:t>
            </w:r>
          </w:p>
        </w:tc>
      </w:tr>
    </w:tbl>
    <w:sectPr w:rsidR="00FC693F" w:rsidRPr="0006063C" w:rsidSect="00034616">
      <w:headerReference w:type="default" r:id="rId9"/>
      <w:footerReference w:type="default" r:id="rId10"/>
      <w:pgSz w:w="12240" w:h="15840"/>
      <w:pgMar w:top="576" w:right="1152" w:bottom="57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drawing>
        <wp:inline xmlns:a="http://schemas.openxmlformats.org/drawingml/2006/main" xmlns:pic="http://schemas.openxmlformats.org/drawingml/2006/picture">
          <wp:extent cx="6217920" cy="738378"/>
          <wp:docPr id="1" name="Picture 1"/>
          <wp:cNvGraphicFramePr>
            <a:graphicFrameLocks noChangeAspect="1"/>
          </wp:cNvGraphicFramePr>
          <a:graphic>
            <a:graphicData uri="http://schemas.openxmlformats.org/drawingml/2006/picture">
              <pic:pic>
                <pic:nvPicPr>
                  <pic:cNvPr id="0" name="ghn_footer_banner.png"/>
                  <pic:cNvPicPr/>
                </pic:nvPicPr>
                <pic:blipFill>
                  <a:blip r:embed="rId1"/>
                  <a:stretch>
                    <a:fillRect/>
                  </a:stretch>
                </pic:blipFill>
                <pic:spPr>
                  <a:xfrm>
                    <a:off x="0" y="0"/>
                    <a:ext cx="6217920" cy="73837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6217920" cy="854964"/>
          <wp:docPr id="1" name="Picture 1"/>
          <wp:cNvGraphicFramePr>
            <a:graphicFrameLocks noChangeAspect="1"/>
          </wp:cNvGraphicFramePr>
          <a:graphic>
            <a:graphicData uri="http://schemas.openxmlformats.org/drawingml/2006/picture">
              <pic:pic>
                <pic:nvPicPr>
                  <pic:cNvPr id="0" name="ghn_header_banner.png"/>
                  <pic:cNvPicPr/>
                </pic:nvPicPr>
                <pic:blipFill>
                  <a:blip r:embed="rId1"/>
                  <a:stretch>
                    <a:fillRect/>
                  </a:stretch>
                </pic:blipFill>
                <pic:spPr>
                  <a:xfrm>
                    <a:off x="0" y="0"/>
                    <a:ext cx="6217920" cy="85496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