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8" w:space="4"/>
        </w:pBdr>
        <w:tabs>
          <w:tab w:val="right" w:pos="9360"/>
        </w:tabs>
        <w:spacing w:after="60"/>
      </w:pPr>
      <w:r>
        <w:rPr>
          <w:b/>
          <w:bCs/>
          <w:color w:val="1E3A5F"/>
          <w:sz w:val="20"/>
          <w:szCs w:val="20"/>
        </w:rPr>
        <w:t xml:space="preserve">CÔNG TY CỔ PHẦN CHỨNG KHOÁN UP (UPSC)</w:t>
      </w:r>
      <w:r>
        <w:rPr>
          <w:color w:val="6B7280"/>
          <w:sz w:val="18"/>
          <w:szCs w:val="18"/>
        </w:rPr>
        <w:t xml:space="preserve">						Mã biểu mẫu: BM-08</w:t>
      </w:r>
    </w:p>
    <w:p>
      <w:pPr>
        <w:spacing w:after="160"/>
      </w:pPr>
      <w:r>
        <w:rPr>
          <w:i/>
          <w:iCs/>
          <w:color w:val="6B7280"/>
          <w:sz w:val="16"/>
          <w:szCs w:val="16"/>
        </w:rPr>
        <w:t xml:space="preserve">Quy trình MV-01 · Phê duyệt ngoại lệ chính sách margin (deal khách hàng)</w:t>
      </w:r>
    </w:p>
    <w:p>
      <w:pPr>
        <w:spacing w:after="40"/>
        <w:jc w:val="center"/>
      </w:pPr>
      <w:r>
        <w:rPr>
          <w:b/>
          <w:bCs/>
          <w:color w:val="1E3A5F"/>
          <w:sz w:val="30"/>
          <w:szCs w:val="30"/>
        </w:rPr>
        <w:t xml:space="preserve">PHIẾU ĐIỀU CHỈNH DEAL NGOẠI LỆ &amp; XỬ LÝ HỆ QUẢ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Điều chỉnh sau cấp — kèm xử lý call margin / thu nợ đến hạn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Tham chiếu deal gốc (BM-04) số: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Khách hàng / Số TK: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Môi giới phụ trách: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180"/>
      </w:pPr>
      <w:r>
        <w:rPr>
          <w:b/>
          <w:bCs/>
          <w:color w:val="2E75B6"/>
          <w:sz w:val="20"/>
          <w:szCs w:val="20"/>
        </w:rPr>
        <w:t xml:space="preserve">I. LÝ DO ĐIỀU CHỈNH</w:t>
      </w:r>
    </w:p>
    <w:p>
      <w:r>
        <w:rPr>
          <w:sz w:val="20"/>
          <w:szCs w:val="20"/>
        </w:rPr>
        <w:t xml:space="preserve">☐ Định kỳ     ☐ Bất thường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Sự kiện kích hoạt: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180"/>
      </w:pPr>
      <w:r>
        <w:rPr>
          <w:b/>
          <w:bCs/>
          <w:color w:val="2E75B6"/>
          <w:sz w:val="20"/>
          <w:szCs w:val="20"/>
        </w:rPr>
        <w:t xml:space="preserve">II. NỘI DUNG ĐIỀU CHỈNH (SIẾT / NỚI)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Tiêu chí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Mức hiện tại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Mức điều chỉnh</w:t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Hướng (siết/nới)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Tỷ lệ cho vay (LTV)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Giá chặn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Room cho vay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Hạn mức cho vay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Lãi suất cho vay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80"/>
      </w:pPr>
      <w:r>
        <w:rPr>
          <w:b/>
          <w:bCs/>
          <w:color w:val="2E75B6"/>
          <w:sz w:val="20"/>
          <w:szCs w:val="20"/>
        </w:rPr>
        <w:t xml:space="preserve">III. ĐÁNH GIÁ HỆ QUẢ TÀI KHOẢN &amp; HÀNH ĐỘNG HỖ TRỢ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Hệ quả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Có/Không</w:t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Hành động hỗ trợ (MG/DVTC)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Nguy cơ call margin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Nợ đến hạn phải thu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Yêu cầu bổ sung ký quỹ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80"/>
      </w:pPr>
      <w:r>
        <w:rPr>
          <w:b/>
          <w:bCs/>
          <w:color w:val="2E75B6"/>
          <w:sz w:val="20"/>
          <w:szCs w:val="20"/>
        </w:rPr>
        <w:t xml:space="preserve">IV. PHÊ DUYỆT &amp; XÁC NHẬN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TGĐ phê duyệt điều chỉnh: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Ngày hiệu lực: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Khách hàng xác nhận: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60"/>
        <w:jc w:val="right"/>
      </w:pPr>
      <w:r>
        <w:rPr>
          <w:i/>
          <w:iCs/>
          <w:sz w:val="18"/>
          <w:szCs w:val="18"/>
        </w:rPr>
        <w:t xml:space="preserve">……… , ngày …… tháng …… năm 20……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NGƯỜI ĐỀ XUẤT (KSRR)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(Ký, ghi rõ họ tên)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TỔNG GIÁM ĐỐC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(Ký, ghi rõ họ tên)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MAKER P.DVTC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(Ký, ghi rõ họ tên)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CHECKER KSRR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(Ký, ghi rõ họ tên)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sectPr>
      <w:footerReference w:type="default" r:id="rId7"/>
      <w:pgSz w:w="12240" w:h="15840" w:orient="portrait"/>
      <w:pgMar w:top="1440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BM-08 · UPSC · Trang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2026-07-01T10:01:27.900Z</dcterms:created>
  <dcterms:modified xsi:type="dcterms:W3CDTF">2026-07-01T10:01:27.900Z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