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CÔNG TY CỔ PHẦN CHỨNG KHOÁN UP (UPSC)  ·  QUY TRÌNH MV-01</w:t>
      </w:r>
    </w:p>
    <w:p>
      <w:pPr>
        <w:pBdr>
          <w:bottom w:val="single" w:color="1E3A5F" w:sz="10"/>
        </w:pBdr>
        <w:spacing w:after="2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BM-03 · PHIẾU THẨM ĐỊNH RỦI RO — DEAL NGOẠI LỆ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P.QTRR — tuyến phòng vệ thứ 2.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I. Tham chiếu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4071"/>
        <w:gridCol w:w="6107"/>
      </w:tblGrid>
      <w:tr>
        <w:trPr>
          <w:tblHeader/>
        </w:trPr>
        <w:tc>
          <w:tcPr>
            <w:tcW w:type="dxa" w:w="4071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Trường</w:t>
            </w:r>
          </w:p>
        </w:tc>
        <w:tc>
          <w:tcPr>
            <w:tcW w:type="dxa" w:w="6107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Nội dung</w:t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Tham chiếu đề xuất (BM-01) số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Khách hàng / Số TK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Môi giới / GĐ Môi giới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Ngày tiếp nhận thẩm định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II. Đánh giá rủi ro theo tiêu chí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2600"/>
        <w:gridCol w:w="2000"/>
        <w:gridCol w:w="3578"/>
        <w:gridCol w:w="2000"/>
      </w:tblGrid>
      <w:tr>
        <w:trPr>
          <w:tblHeader/>
        </w:trPr>
        <w:tc>
          <w:tcPr>
            <w:tcW w:type="dxa" w:w="26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Tiêu chí ngoại lệ</w:t>
            </w:r>
          </w:p>
        </w:tc>
        <w:tc>
          <w:tcPr>
            <w:tcW w:type="dxa" w:w="20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Mức đề xuất</w:t>
            </w:r>
          </w:p>
        </w:tc>
        <w:tc>
          <w:tcPr>
            <w:tcW w:type="dxa" w:w="3578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Đánh giá rủi ro</w:t>
            </w:r>
          </w:p>
        </w:tc>
        <w:tc>
          <w:tcPr>
            <w:tcW w:type="dxa" w:w="20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Kết luận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Tỷ lệ cho vay (LTV)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Giá chặn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Room cho vay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Hạn mức cho vay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Lãi suất cho vay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5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III. Kiểm tra tuân thủ giới hạn</w:t>
      </w:r>
    </w:p>
    <w:tbl>
      <w:tblPr>
        <w:tblW w:type="dxa" w:w="10179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5598"/>
        <w:gridCol w:w="2036"/>
        <w:gridCol w:w="2545"/>
      </w:tblGrid>
      <w:tr>
        <w:trPr>
          <w:tblHeader/>
        </w:trPr>
        <w:tc>
          <w:tcPr>
            <w:tcW w:type="dxa" w:w="5598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Nội dung kiểm tra</w:t>
            </w:r>
          </w:p>
        </w:tc>
        <w:tc>
          <w:tcPr>
            <w:tcW w:type="dxa" w:w="2036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Đạt / Không</w:t>
            </w:r>
          </w:p>
        </w:tc>
        <w:tc>
          <w:tcPr>
            <w:tcW w:type="dxa" w:w="2545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Ghi chú</w:t>
            </w:r>
          </w:p>
        </w:tc>
      </w:tr>
      <w:tr>
        <w:tc>
          <w:tcPr>
            <w:tcW w:type="dxa" w:w="559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Hạn mức 1 KH ≤ 3% VCSH</w:t>
            </w:r>
          </w:p>
        </w:tc>
        <w:tc>
          <w:tcPr>
            <w:tcW w:type="dxa" w:w="20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59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Giới hạn tập trung mã / nhóm / ngành</w:t>
            </w:r>
          </w:p>
        </w:tc>
        <w:tc>
          <w:tcPr>
            <w:tcW w:type="dxa" w:w="20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59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KH không thuộc diện hạn chế</w:t>
            </w:r>
          </w:p>
        </w:tc>
        <w:tc>
          <w:tcPr>
            <w:tcW w:type="dxa" w:w="20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IV. Điều kiện kiểm soát kèm theo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(Ô để trống điền tay)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V. Kết luận thẩm định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☐ Đồng ý      ☐ Đồng ý có điều kiện      ☐ Từ chối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3A5F"/>
          <w:sz w:val="18"/>
          <w:szCs w:val="18"/>
        </w:rPr>
        <w:t xml:space="preserve">Ký: CÁN BỘ P.QTRR thẩm định  ·  TRƯỞNG P.QTRR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UPSC</dc:creator>
  <cp:lastModifiedBy>Un-named</cp:lastModifiedBy>
  <cp:revision>1</cp:revision>
  <dcterms:created xsi:type="dcterms:W3CDTF">2026-07-16T10:58:17.824Z</dcterms:created>
  <dcterms:modified xsi:type="dcterms:W3CDTF">2026-07-16T10:58:17.824Z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