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6B7280"/>
          <w:sz w:val="16"/>
          <w:szCs w:val="16"/>
        </w:rPr>
        <w:t xml:space="preserve">CÔNG TY CỔ PHẦN CHỨNG KHOÁN UP (UPSC)  ·  QUY TRÌNH MV-01</w:t>
      </w:r>
    </w:p>
    <w:p>
      <w:pPr>
        <w:pBdr>
          <w:bottom w:val="single" w:color="1E3A5F" w:sz="10"/>
        </w:pBdr>
        <w:spacing w:after="20"/>
      </w:pPr>
      <w:r>
        <w:rPr>
          <w:rFonts w:ascii="Arial" w:cs="Arial" w:eastAsia="Arial" w:hAnsi="Arial"/>
          <w:b/>
          <w:bCs/>
          <w:color w:val="1E3A5F"/>
          <w:sz w:val="26"/>
          <w:szCs w:val="26"/>
        </w:rPr>
        <w:t xml:space="preserve">BM-06 · BIÊN BẢN CÀI ĐẶT THÔNG SỐ NGOẠI LỆ &amp; KIỂM SOÁT ĐỘC LẬP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6B7280"/>
          <w:sz w:val="17"/>
          <w:szCs w:val="17"/>
        </w:rPr>
        <w:t xml:space="preserve">Maker (P.DVCK) – Checker (P.QTRR).</w:t>
      </w:r>
    </w:p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Tham chiếu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4071"/>
        <w:gridCol w:w="6107"/>
      </w:tblGrid>
      <w:tr>
        <w:trPr>
          <w:tblHeader/>
        </w:trPr>
        <w:tc>
          <w:tcPr>
            <w:tcW w:type="dxa" w:w="4071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Trường</w:t>
            </w:r>
          </w:p>
        </w:tc>
        <w:tc>
          <w:tcPr>
            <w:tcW w:type="dxa" w:w="6107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Nội dung</w:t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Quyết định phê duyệt (BM-04) số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Khách hàng / Số TK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071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Ngày cài đặt</w:t>
            </w:r>
          </w:p>
        </w:tc>
        <w:tc>
          <w:tcPr>
            <w:tcW w:type="dxa" w:w="6107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I. Đối chiếu thông số cài đặt vs phê duyệt</w:t>
      </w:r>
    </w:p>
    <w:tbl>
      <w:tblPr>
        <w:tblW w:type="dxa" w:w="10178"/>
        <w:tblBorders>
          <w:top w:val="single" w:color="B8C4D0" w:sz="2"/>
          <w:left w:val="single" w:color="B8C4D0" w:sz="2"/>
          <w:bottom w:val="single" w:color="B8C4D0" w:sz="2"/>
          <w:right w:val="single" w:color="B8C4D0" w:sz="2"/>
          <w:insideH w:val="single" w:color="D5DCE4" w:sz="2"/>
          <w:insideV w:val="single" w:color="D5DCE4" w:sz="2"/>
        </w:tblBorders>
      </w:tblPr>
      <w:tblGrid>
        <w:gridCol w:w="2878"/>
        <w:gridCol w:w="2600"/>
        <w:gridCol w:w="2900"/>
        <w:gridCol w:w="1800"/>
      </w:tblGrid>
      <w:tr>
        <w:trPr>
          <w:tblHeader/>
        </w:trPr>
        <w:tc>
          <w:tcPr>
            <w:tcW w:type="dxa" w:w="2878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Tiêu chí</w:t>
            </w:r>
          </w:p>
        </w:tc>
        <w:tc>
          <w:tcPr>
            <w:tcW w:type="dxa" w:w="26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Giá trị phê duyệt</w:t>
            </w:r>
          </w:p>
        </w:tc>
        <w:tc>
          <w:tcPr>
            <w:tcW w:type="dxa" w:w="29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Giá trị cài đặt thực tế</w:t>
            </w:r>
          </w:p>
        </w:tc>
        <w:tc>
          <w:tcPr>
            <w:tcW w:type="dxa" w:w="1800"/>
            <w:shd w:fill="D5E8F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Khớp (✓/✗)</w:t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Tỷ lệ cho vay (LTV)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Giá chặn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Room cho vay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Hạn mức cho vay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Lãi suất cho vay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878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Ngày hiệu lực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50" w:before="120"/>
      </w:pPr>
      <w:r>
        <w:rPr>
          <w:rFonts w:ascii="Arial" w:cs="Arial" w:eastAsia="Arial" w:hAnsi="Arial"/>
          <w:b/>
          <w:bCs/>
          <w:color w:val="1E3A5F"/>
          <w:sz w:val="19"/>
          <w:szCs w:val="19"/>
        </w:rPr>
        <w:t xml:space="preserve">II. Kết luận đối chiếu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18"/>
          <w:szCs w:val="18"/>
        </w:rPr>
        <w:t xml:space="preserve">☐ Khớp hoàn toàn      ☐ Có sai lệch (nêu rõ &amp; xử lý)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Xử lý sai lệch (nếu có): (Ô để trống điền tay)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E3A5F"/>
          <w:sz w:val="18"/>
          <w:szCs w:val="18"/>
        </w:rPr>
        <w:t xml:space="preserve">Ký: MAKER — P.DVCK (cài đặt)  ·  CHECKER — P.QTRR (kiểm soát)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UPSC</dc:creator>
  <cp:lastModifiedBy>Un-named</cp:lastModifiedBy>
  <cp:revision>1</cp:revision>
  <dcterms:created xsi:type="dcterms:W3CDTF">2026-07-16T10:58:17.877Z</dcterms:created>
  <dcterms:modified xsi:type="dcterms:W3CDTF">2026-07-16T10:58:17.877Z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