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MV-01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BM-08 · PHIẾU ĐIỀU CHỈNH DEAL NGOẠI LỆ &amp; XỬ LÝ HỆ QUẢ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Điều chỉnh sau cấp — kèm xử lý call margin / thu nợ đến hạn.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Tham chiếu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6107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6107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Deal gốc (BM-04) số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Khách hàng / Số TK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Môi giới phụ trách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I. Lý do điều chỉnh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☐ Định kỳ      ☐ Bất thường            Sự kiện kích hoạt: ………………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II. Nội dung điều chỉnh (siết / nới)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2878"/>
        <w:gridCol w:w="2600"/>
        <w:gridCol w:w="2900"/>
        <w:gridCol w:w="1800"/>
      </w:tblGrid>
      <w:tr>
        <w:trPr>
          <w:tblHeader/>
        </w:trPr>
        <w:tc>
          <w:tcPr>
            <w:tcW w:type="dxa" w:w="2878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Tiêu chí</w:t>
            </w:r>
          </w:p>
        </w:tc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Mức hiện tại</w:t>
            </w:r>
          </w:p>
        </w:tc>
        <w:tc>
          <w:tcPr>
            <w:tcW w:type="dxa" w:w="29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Mức điều chỉnh</w:t>
            </w:r>
          </w:p>
        </w:tc>
        <w:tc>
          <w:tcPr>
            <w:tcW w:type="dxa" w:w="18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Hướng (siết/nới)</w:t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Giá chặn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Room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III. Đánh giá hệ quả tài khoản &amp; hỗ trợ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2036"/>
        <w:gridCol w:w="4071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Hệ quả</w:t>
            </w:r>
          </w:p>
        </w:tc>
        <w:tc>
          <w:tcPr>
            <w:tcW w:type="dxa" w:w="2036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Có/Không</w:t>
            </w:r>
          </w:p>
        </w:tc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Hành động hỗ trợ (MG/DVCK/QTRR)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Nguy cơ call margin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Nợ đến hạn phải thu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Yêu cầu bổ sung ký quỹ</w:t>
            </w:r>
          </w:p>
        </w:tc>
        <w:tc>
          <w:tcPr>
            <w:tcW w:type="dxa" w:w="20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IV. Phê duyệt &amp; xác nhận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6107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6107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TGĐ phê duyệt điều chỉnh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Ngày hiệu lực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Khách hàng xác nhận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NGƯỜI ĐỀ XUẤT (P.QTRR)  ·  TỔNG GIÁM ĐỐC  ·  MAKER P.DVCK  ·  CHECKER P.QTRR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2026-07-16T10:58:17.889Z</dcterms:created>
  <dcterms:modified xsi:type="dcterms:W3CDTF">2026-07-16T10:58:17.889Z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