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CÔNG TY CỔ PHẦN</w:t>
            </w:r>
          </w:p>
          <w:p>
            <w:pPr>
              <w:spacing w:after="3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CHỨNG KHOÁN UP</w:t>
            </w:r>
          </w:p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Số: ......./QĐ-TGĐ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CỘNG HÒA XÃ HỘI CHỦ NGHĨA VIỆT NAM</w:t>
            </w:r>
          </w:p>
          <w:p>
            <w:pPr>
              <w:spacing w:after="3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Độc lập - Tự do - Hạnh phúc</w:t>
            </w:r>
          </w:p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Hà Nội, ngày ... tháng ... năm ......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00"/>
        <w:jc w:val="center"/>
      </w:pPr>
      <w:r>
        <w:rPr>
          <w:b/>
          <w:bCs/>
          <w:i w:val="false"/>
          <w:iCs w:val="false"/>
          <w:color w:val="000000"/>
          <w:sz w:val="28"/>
          <w:szCs w:val="28"/>
        </w:rPr>
        <w:t xml:space="preserve">QUYẾT ĐỊNH</w:t>
      </w:r>
    </w:p>
    <w:p>
      <w:pPr>
        <w:spacing w:after="40"/>
        <w:jc w:val="center"/>
      </w:pPr>
      <w:r>
        <w:rPr>
          <w:b/>
          <w:bCs/>
          <w:i w:val="false"/>
          <w:iCs w:val="false"/>
          <w:color w:val="000000"/>
          <w:sz w:val="20"/>
          <w:szCs w:val="20"/>
        </w:rPr>
        <w:t xml:space="preserve">Về việc ban hành Danh mục chứng khoán ký quỹ kỳ [......]</w:t>
      </w:r>
    </w:p>
    <w:p>
      <w:pPr>
        <w:spacing w:after="100"/>
        <w:jc w:val="center"/>
      </w:pPr>
      <w:r>
        <w:rPr>
          <w:b w:val="false"/>
          <w:bCs w:val="false"/>
          <w:i/>
          <w:iCs/>
          <w:color w:val="808080"/>
          <w:sz w:val="15"/>
          <w:szCs w:val="15"/>
        </w:rPr>
        <w:t xml:space="preserve">Mã biểu mẫu: BM-03</w:t>
      </w:r>
    </w:p>
    <w:p>
      <w:pPr>
        <w:spacing w:after="50"/>
        <w:jc w:val="center"/>
      </w:pPr>
      <w:r>
        <w:rPr>
          <w:b/>
          <w:bCs/>
          <w:i w:val="false"/>
          <w:iCs w:val="false"/>
          <w:color w:val="000000"/>
          <w:sz w:val="22"/>
          <w:szCs w:val="22"/>
        </w:rPr>
        <w:t xml:space="preserve">TỔNG GIÁM ĐỐC</w:t>
      </w:r>
    </w:p>
    <w:p>
      <w:pPr>
        <w:spacing w:after="50"/>
        <w:jc w:val="left"/>
      </w:pPr>
      <w:r>
        <w:rPr>
          <w:b w:val="false"/>
          <w:bCs w:val="false"/>
          <w:i/>
          <w:iCs/>
          <w:color w:val="000000"/>
          <w:sz w:val="22"/>
          <w:szCs w:val="22"/>
        </w:rPr>
        <w:t xml:space="preserve">Căn cứ Điều lệ Công ty; căn cứ Quy trình MV-08 và Quy chế hướng dẫn GDKQ (QĐ 87/QĐ-UBCK); xét đề nghị của P.QTRR và P.NCPT,</w:t>
      </w:r>
    </w:p>
    <w:p>
      <w:pPr>
        <w:spacing w:after="100"/>
        <w:jc w:val="center"/>
      </w:pPr>
      <w:r>
        <w:rPr>
          <w:b/>
          <w:bCs/>
          <w:i w:val="false"/>
          <w:iCs w:val="false"/>
          <w:color w:val="000000"/>
          <w:sz w:val="22"/>
          <w:szCs w:val="22"/>
        </w:rPr>
        <w:t xml:space="preserve">QUYẾT ĐỊNH:</w:t>
      </w:r>
    </w:p>
    <w:p>
      <w:pPr>
        <w:spacing w:after="100"/>
        <w:jc w:val="left"/>
      </w:pPr>
      <w:r>
        <w:rPr>
          <w:b/>
          <w:bCs/>
          <w:sz w:val="22"/>
          <w:szCs w:val="22"/>
        </w:rPr>
        <w:t xml:space="preserve">Điều 1. </w:t>
      </w:r>
      <w:r>
        <w:rPr>
          <w:sz w:val="22"/>
          <w:szCs w:val="22"/>
        </w:rPr>
        <w:t xml:space="preserve">Ban hành kèm theo Quyết định này Danh mục chứng khoán ký quỹ kỳ [......] (danh sách mã, tỷ lệ cho vay, giá chặn, room, hạn mức theo phụ lục đính kèm).</w:t>
      </w:r>
    </w:p>
    <w:p>
      <w:pPr>
        <w:spacing w:after="100"/>
        <w:jc w:val="left"/>
      </w:pPr>
      <w:r>
        <w:rPr>
          <w:b/>
          <w:bCs/>
          <w:sz w:val="22"/>
          <w:szCs w:val="22"/>
        </w:rPr>
        <w:t xml:space="preserve">Điều 2. </w:t>
      </w:r>
      <w:r>
        <w:rPr>
          <w:sz w:val="22"/>
          <w:szCs w:val="22"/>
        </w:rPr>
        <w:t xml:space="preserve">Quyết định có hiệu lực kể từ ngày [........]. Danh mục được thông báo tới khách hàng trước tối thiểu 3 ngày làm việc.</w:t>
      </w:r>
    </w:p>
    <w:p>
      <w:pPr>
        <w:spacing w:after="100"/>
        <w:jc w:val="left"/>
      </w:pPr>
      <w:r>
        <w:rPr>
          <w:b/>
          <w:bCs/>
          <w:sz w:val="22"/>
          <w:szCs w:val="22"/>
        </w:rPr>
        <w:t xml:space="preserve">Điều 3. </w:t>
      </w:r>
      <w:r>
        <w:rPr>
          <w:sz w:val="22"/>
          <w:szCs w:val="22"/>
        </w:rPr>
        <w:t xml:space="preserve">P.NCPT, P.QTRR, B.DVCK/P.DVTC, K.MG và các đơn vị liên quan chịu trách nhiệm thi hành.</w:t>
      </w:r>
    </w:p>
    <w:p>
      <w:pPr>
        <w:spacing w:after="1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/>
              <w:jc w:val="left"/>
            </w:pPr>
            <w:r>
              <w:rPr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Nơi nhận:</w:t>
            </w:r>
          </w:p>
          <w:p>
            <w:pPr>
              <w:spacing w:after="30"/>
              <w:jc w:val="left"/>
            </w:pPr>
            <w:r>
              <w:rPr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- Như Điều 3;</w:t>
            </w:r>
          </w:p>
          <w:p>
            <w:pPr>
              <w:spacing w:after="0"/>
              <w:jc w:val="left"/>
            </w:pPr>
            <w:r>
              <w:rPr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- Lưu: P.NCPT, P.QTRR.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TỔNG GIÁM ĐỐC</w:t>
            </w:r>
          </w:p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(Ký, ghi rõ họ tên, đóng dấu)</w:t>
            </w:r>
          </w:p>
        </w:tc>
      </w:tr>
    </w:tbl>
    <w:sectPr>
      <w:footerReference w:type="default" r:id="rId7"/>
      <w:pgSz w:w="12240" w:h="15840" w:orient="portrait"/>
      <w:pgMar w:top="1160" w:right="1160" w:bottom="1160" w:left="11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UPSC — MV-08 · BM-03   |   Trang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2026-07-01T02:47:34.682Z</dcterms:created>
  <dcterms:modified xsi:type="dcterms:W3CDTF">2026-07-01T02:47:34.682Z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