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60"/>
        <w:gridCol w:w="3500"/>
      </w:tblGrid>
      <w:tr>
        <w:tc>
          <w:tcPr>
            <w:tcW w:type="dxa" w:w="586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CÔNG TY CỔ PHẦN CHỨNG KHOÁN UP</w:t>
            </w:r>
          </w:p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Biểu mẫu MV-08</w:t>
            </w:r>
          </w:p>
        </w:tc>
        <w:tc>
          <w:tcPr>
            <w:tcW w:type="dxa" w:w="35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Mã biểu mẫu: BM-06</w:t>
            </w:r>
          </w:p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Lần ban hành: 01</w:t>
            </w:r>
          </w:p>
        </w:tc>
      </w:tr>
    </w:tbl>
    <w:p>
      <w:pPr>
        <w:spacing w:after="60" w:before="120"/>
        <w:jc w:val="center"/>
      </w:pPr>
      <w:r>
        <w:rPr>
          <w:b/>
          <w:bCs/>
          <w:color w:val="1F3864"/>
          <w:sz w:val="28"/>
          <w:szCs w:val="28"/>
        </w:rPr>
        <w:t xml:space="preserve">PHIẾU ĐỀ XUẤT / BIÊN BẢN ĐIỀU CHỈNH ĐỘT XUẤT DANH MỤC</w:t>
      </w:r>
    </w:p>
    <w:p>
      <w:pPr>
        <w:spacing w:after="140"/>
        <w:jc w:val="center"/>
      </w:pPr>
      <w:r>
        <w:rPr>
          <w:i/>
          <w:iCs/>
          <w:color w:val="595959"/>
          <w:sz w:val="18"/>
          <w:szCs w:val="18"/>
        </w:rPr>
        <w:t xml:space="preserve">Gắn với bước M2 / M4 · Điều chỉnh đột xuất (siết/nới đều trình phê duyệt)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shd w:fill="F2F2F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Ngày</w:t>
            </w:r>
          </w:p>
        </w:tc>
        <w:tc>
          <w:tcPr>
            <w:tcW w:type="dxa" w:w="616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[....../....../..........]</w:t>
            </w:r>
          </w:p>
        </w:tc>
      </w:tr>
      <w:tr>
        <w:tc>
          <w:tcPr>
            <w:tcW w:type="dxa" w:w="32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shd w:fill="F2F2F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Mã CK liên quan</w:t>
            </w:r>
          </w:p>
        </w:tc>
        <w:tc>
          <w:tcPr>
            <w:tcW w:type="dxa" w:w="616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[........................]</w:t>
            </w:r>
          </w:p>
        </w:tc>
      </w:tr>
      <w:tr>
        <w:tc>
          <w:tcPr>
            <w:tcW w:type="dxa" w:w="32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shd w:fill="F2F2F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Người đề xuất (P.NCPT)</w:t>
            </w:r>
          </w:p>
        </w:tc>
        <w:tc>
          <w:tcPr>
            <w:tcW w:type="dxa" w:w="616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[........................]</w:t>
            </w:r>
          </w:p>
        </w:tc>
      </w:tr>
    </w:tbl>
    <w:p>
      <w:pPr>
        <w:spacing w:after="60" w:before="120"/>
      </w:pPr>
      <w:r>
        <w:rPr>
          <w:b/>
          <w:bCs/>
          <w:color w:val="1F3864"/>
          <w:sz w:val="22"/>
          <w:szCs w:val="22"/>
        </w:rPr>
        <w:t xml:space="preserve">1. Sự kiện kích hoạt (đánh dấu)</w:t>
      </w:r>
    </w:p>
    <w:p>
      <w:pPr>
        <w:spacing w:after="40"/>
        <w:jc w:val="left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[ ] Trạng thái niêm yết    [ ] Biến động giá/thanh khoản    [ ] Cấu trúc cổ phiếu    [ ] Sự kiện doanh nghiệp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[ ] Thị trường / quy định    [ ] Tập trung rủi ro    [ ] Chỉ định của Ban điều hành</w:t>
      </w:r>
    </w:p>
    <w:p>
      <w:pPr>
        <w:spacing w:after="60" w:before="120"/>
      </w:pPr>
      <w:r>
        <w:rPr>
          <w:b/>
          <w:bCs/>
          <w:color w:val="1F3864"/>
          <w:sz w:val="22"/>
          <w:szCs w:val="22"/>
        </w:rPr>
        <w:t xml:space="preserve">2. Đánh giá tác động khách hàng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Ước tính KH / dư nợ có nguy cơ call margin do điều chỉnh: [............] KH · [............] đồng.</w:t>
      </w:r>
    </w:p>
    <w:p>
      <w:pPr>
        <w:spacing w:after="60" w:before="120"/>
      </w:pPr>
      <w:r>
        <w:rPr>
          <w:b/>
          <w:bCs/>
          <w:color w:val="1F3864"/>
          <w:sz w:val="22"/>
          <w:szCs w:val="22"/>
        </w:rPr>
        <w:t xml:space="preserve">3. Nội dung điều chỉnh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c>
          <w:tcPr>
            <w:tcW w:type="dxa" w:w="30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shd w:fill="2E549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Tham số</w:t>
            </w:r>
          </w:p>
        </w:tc>
        <w:tc>
          <w:tcPr>
            <w:tcW w:type="dxa" w:w="318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shd w:fill="2E549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Hiện tại</w:t>
            </w:r>
          </w:p>
        </w:tc>
        <w:tc>
          <w:tcPr>
            <w:tcW w:type="dxa" w:w="318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shd w:fill="2E549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Đề xuất</w:t>
            </w:r>
          </w:p>
        </w:tc>
      </w:tr>
      <w:tr>
        <w:tc>
          <w:tcPr>
            <w:tcW w:type="dxa" w:w="30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shd w:fill="F2F2F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LTV (%)</w:t>
            </w:r>
          </w:p>
        </w:tc>
        <w:tc>
          <w:tcPr>
            <w:tcW w:type="dxa" w:w="318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8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shd w:fill="F2F2F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Room (CP)</w:t>
            </w:r>
          </w:p>
        </w:tc>
        <w:tc>
          <w:tcPr>
            <w:tcW w:type="dxa" w:w="318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8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shd w:fill="F2F2F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Giá chặn</w:t>
            </w:r>
          </w:p>
        </w:tc>
        <w:tc>
          <w:tcPr>
            <w:tcW w:type="dxa" w:w="318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8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shd w:fill="F2F2F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Thêm / loại mã</w:t>
            </w:r>
          </w:p>
        </w:tc>
        <w:tc>
          <w:tcPr>
            <w:tcW w:type="dxa" w:w="318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8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t xml:space="preserve"/>
      </w:r>
    </w:p>
    <w:p>
      <w:pPr>
        <w:spacing w:after="60"/>
        <w:jc w:val="left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4. Hướng điều chỉnh:   [ ] SIẾT (giảm rủi ro)   [ ] NỚI (tăng cho vay)  —  cả hai đều trình phê duyệt trước khi áp dụng.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5. Thông báo khách hàng: dự kiến thông báo trước ngày hiệu lực ≥ 1 ngày; ngày thông báo [..............], ngày hiệu lực [..............].</w:t>
      </w:r>
    </w:p>
    <w:p>
      <w:pPr>
        <w:spacing w:after="100"/>
        <w:jc w:val="left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6. Lý do: [...............................................................................................................................]</w:t>
      </w:r>
    </w:p>
    <w:p>
      <w:pPr>
        <w:spacing w:after="15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ĐỀ XUẤT (P.NCPT)</w:t>
            </w:r>
          </w:p>
          <w:p>
            <w:pPr>
              <w:spacing w:after="30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(Ký, ghi rõ họ tên)</w:t>
            </w:r>
          </w:p>
          <w:p>
            <w:pPr>
              <w:spacing w:after="30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30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Ý KIẾN P.QTRR</w:t>
            </w:r>
          </w:p>
          <w:p>
            <w:pPr>
              <w:spacing w:after="30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(Ký, ghi rõ họ tên)</w:t>
            </w:r>
          </w:p>
          <w:p>
            <w:pPr>
              <w:spacing w:after="30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30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PHÊ DUYỆT (TGĐ)</w:t>
            </w:r>
          </w:p>
          <w:p>
            <w:pPr>
              <w:spacing w:after="30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(Ký, ghi rõ họ tên)</w:t>
            </w:r>
          </w:p>
          <w:p>
            <w:pPr>
              <w:spacing w:after="30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30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2240" w:h="15840" w:orient="portrait"/>
      <w:pgMar w:top="1160" w:right="1160" w:bottom="1160" w:left="11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UPSC — MV-08 · BM-06   |   Trang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2026-07-01T02:47:34.788Z</dcterms:created>
  <dcterms:modified xsi:type="dcterms:W3CDTF">2026-07-01T02:47:34.788Z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