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line="276" w:lineRule="auto"/>
              <w:jc w:val="center"/>
            </w:pPr>
            <w:r>
              <w:rPr>
                <w:rFonts w:ascii="Times New Roman" w:hAnsi="Times New Roman"/>
                <w:b/>
                <w:i w:val="0"/>
                <w:sz w:val="20"/>
                <w:u w:val="none"/>
              </w:rPr>
              <w:t>CÔNG TY TNHH TM</w:t>
              <w:br/>
              <w:t>XUẤT NHẬP KHẨU EUREKA</w:t>
            </w:r>
          </w:p>
          <w:p>
            <w:pPr>
              <w:spacing w:after="0"/>
              <w:jc w:val="center"/>
            </w:pPr>
            <w:r>
              <w:rPr>
                <w:rFonts w:ascii="Times New Roman" w:hAnsi="Times New Roman"/>
                <w:b w:val="0"/>
                <w:i w:val="0"/>
                <w:sz w:val="21"/>
                <w:u w:val="none"/>
              </w:rPr>
              <w:t>Số: 05/ĐKCBHQ-04/ERK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BẢN ĐĂNG KÝ CÔNG BỐ HỢP QUY</w:t>
      </w:r>
    </w:p>
    <w:p>
      <w:pPr>
        <w:spacing w:before="0" w:after="80" w:line="276" w:lineRule="auto"/>
        <w:jc w:val="left"/>
      </w:pPr>
      <w:r>
        <w:rPr>
          <w:rFonts w:ascii="Times New Roman" w:hAnsi="Times New Roman"/>
          <w:b/>
          <w:i w:val="0"/>
          <w:sz w:val="24"/>
          <w:u w:val="none"/>
        </w:rPr>
        <w:t xml:space="preserve">Tên tổ chức, cá nhân: </w:t>
      </w:r>
      <w:r>
        <w:rPr>
          <w:rFonts w:ascii="Times New Roman" w:hAnsi="Times New Roman"/>
          <w:b/>
          <w:i w:val="0"/>
          <w:sz w:val="24"/>
          <w:u w:val="none"/>
        </w:rPr>
        <w:t>CÔNG TY TNHH THƯƠNG MẠI XUẤT NHẬP KHẨU EUREKA</w:t>
      </w:r>
    </w:p>
    <w:p>
      <w:pPr>
        <w:spacing w:before="0" w:after="80" w:line="276" w:lineRule="auto"/>
        <w:jc w:val="left"/>
      </w:pPr>
      <w:r>
        <w:rPr>
          <w:rFonts w:ascii="Times New Roman" w:hAnsi="Times New Roman"/>
          <w:b/>
          <w:i w:val="0"/>
          <w:sz w:val="24"/>
          <w:u w:val="none"/>
        </w:rPr>
        <w:t xml:space="preserve">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240" w:line="276" w:lineRule="auto"/>
        <w:jc w:val="left"/>
      </w:pPr>
      <w:r>
        <w:rPr>
          <w:rFonts w:ascii="Times New Roman" w:hAnsi="Times New Roman"/>
          <w:b/>
          <w:i w:val="0"/>
          <w:sz w:val="24"/>
          <w:u w:val="none"/>
        </w:rPr>
        <w:t xml:space="preserve">Điện thoại: </w:t>
      </w:r>
      <w:r>
        <w:rPr>
          <w:rFonts w:ascii="Times New Roman" w:hAnsi="Times New Roman"/>
          <w:b w:val="0"/>
          <w:i w:val="0"/>
          <w:sz w:val="24"/>
          <w:u w:val="none"/>
        </w:rPr>
        <w:t xml:space="preserve">024.3999.8888      </w:t>
      </w:r>
      <w:r>
        <w:rPr>
          <w:rFonts w:ascii="Times New Roman" w:hAnsi="Times New Roman"/>
          <w:b/>
          <w:i w:val="0"/>
          <w:sz w:val="24"/>
          <w:u w:val="none"/>
        </w:rPr>
        <w:t xml:space="preserve">Fax: </w:t>
      </w:r>
      <w:r>
        <w:rPr>
          <w:rFonts w:ascii="Times New Roman" w:hAnsi="Times New Roman"/>
          <w:b w:val="0"/>
          <w:i w:val="0"/>
          <w:sz w:val="24"/>
          <w:u w:val="none"/>
        </w:rPr>
        <w:t xml:space="preserve">024.3999.8889      </w:t>
      </w:r>
      <w:r>
        <w:rPr>
          <w:rFonts w:ascii="Times New Roman" w:hAnsi="Times New Roman"/>
          <w:b/>
          <w:i w:val="0"/>
          <w:sz w:val="24"/>
          <w:u w:val="none"/>
        </w:rPr>
        <w:t xml:space="preserve">E-mail: </w:t>
      </w:r>
      <w:r>
        <w:rPr>
          <w:rFonts w:ascii="Times New Roman" w:hAnsi="Times New Roman"/>
          <w:b w:val="0"/>
          <w:i w:val="0"/>
          <w:sz w:val="24"/>
          <w:u w:val="none"/>
        </w:rPr>
        <w:t>contact@eurekalogistics.vn</w:t>
      </w:r>
    </w:p>
    <w:p>
      <w:pPr>
        <w:spacing w:before="0" w:after="120" w:line="276" w:lineRule="auto"/>
        <w:jc w:val="left"/>
      </w:pPr>
      <w:r>
        <w:rPr>
          <w:rFonts w:ascii="Times New Roman" w:hAnsi="Times New Roman"/>
          <w:b/>
          <w:i w:val="0"/>
          <w:sz w:val="25"/>
          <w:u w:val="none"/>
        </w:rPr>
        <w:t>CÔNG BỐ:</w:t>
      </w:r>
    </w:p>
    <w:p>
      <w:pPr>
        <w:spacing w:before="0" w:after="120" w:line="276" w:lineRule="auto"/>
        <w:jc w:val="left"/>
      </w:pPr>
      <w:r>
        <w:rPr>
          <w:rFonts w:ascii="Times New Roman" w:hAnsi="Times New Roman"/>
          <w:b w:val="0"/>
          <w:i/>
          <w:sz w:val="24"/>
          <w:u w:val="none"/>
        </w:rPr>
        <w:t>Sản phẩm, hàng hóa, quá trình, dịch vụ, môi trường hoặc các đối tượng khác trong hoạt động kinh tế - xã hội:</w:t>
      </w:r>
    </w:p>
    <w:p>
      <w:pPr>
        <w:spacing w:before="0" w:after="80" w:line="276" w:lineRule="auto"/>
        <w:jc w:val="left"/>
      </w:pPr>
      <w:r>
        <w:rPr>
          <w:rFonts w:ascii="Times New Roman" w:hAnsi="Times New Roman"/>
          <w:b/>
          <w:i w:val="0"/>
          <w:sz w:val="24"/>
          <w:u w:val="none"/>
        </w:rPr>
        <w:t xml:space="preserve">- Tên gọi sản phẩm: </w:t>
      </w:r>
      <w:r>
        <w:rPr>
          <w:rFonts w:ascii="Times New Roman" w:hAnsi="Times New Roman"/>
          <w:b w:val="0"/>
          <w:i w:val="0"/>
          <w:sz w:val="24"/>
          <w:u w:val="none"/>
        </w:rPr>
        <w:t>Máy sấy tóc dùng trong gia dụng</w:t>
      </w:r>
    </w:p>
    <w:p>
      <w:pPr>
        <w:spacing w:before="0" w:after="80" w:line="276" w:lineRule="auto"/>
        <w:jc w:val="left"/>
      </w:pPr>
      <w:r>
        <w:rPr>
          <w:rFonts w:ascii="Times New Roman" w:hAnsi="Times New Roman"/>
          <w:b/>
          <w:i w:val="0"/>
          <w:sz w:val="24"/>
          <w:u w:val="none"/>
        </w:rPr>
        <w:t xml:space="preserve">- Kiểu, loại/Model: </w:t>
      </w:r>
      <w:r>
        <w:rPr>
          <w:rFonts w:ascii="Times New Roman" w:hAnsi="Times New Roman"/>
          <w:b w:val="0"/>
          <w:i/>
          <w:sz w:val="24"/>
          <w:u w:val="none"/>
        </w:rPr>
        <w:t>Chi tiết tại Danh mục sản phẩm kèm theo (Phụ lục số 01)</w:t>
      </w:r>
    </w:p>
    <w:p>
      <w:pPr>
        <w:spacing w:before="0" w:after="80" w:line="276" w:lineRule="auto"/>
        <w:jc w:val="left"/>
      </w:pPr>
      <w:r>
        <w:rPr>
          <w:rFonts w:ascii="Times New Roman" w:hAnsi="Times New Roman"/>
          <w:b/>
          <w:i w:val="0"/>
          <w:sz w:val="24"/>
          <w:u w:val="none"/>
        </w:rPr>
        <w:t xml:space="preserve">- Nhãn hiệu/Hiệu: </w:t>
      </w:r>
      <w:r>
        <w:rPr>
          <w:rFonts w:ascii="Times New Roman" w:hAnsi="Times New Roman"/>
          <w:b w:val="0"/>
          <w:i/>
          <w:sz w:val="24"/>
          <w:u w:val="none"/>
        </w:rPr>
        <w:t>Chi tiết tại Danh mục sản phẩm kèm theo (Phụ lục số 01)</w:t>
      </w:r>
    </w:p>
    <w:p>
      <w:pPr>
        <w:spacing w:before="0" w:after="160" w:line="276" w:lineRule="auto"/>
        <w:jc w:val="left"/>
      </w:pPr>
      <w:r>
        <w:rPr>
          <w:rFonts w:ascii="Times New Roman" w:hAnsi="Times New Roman"/>
          <w:b/>
          <w:i w:val="0"/>
          <w:sz w:val="24"/>
          <w:u w:val="none"/>
        </w:rPr>
        <w:t xml:space="preserve">- Đặc trưng kỹ thuật: </w:t>
      </w:r>
      <w:r>
        <w:rPr>
          <w:rFonts w:ascii="Times New Roman" w:hAnsi="Times New Roman"/>
          <w:b w:val="0"/>
          <w:i/>
          <w:sz w:val="24"/>
          <w:u w:val="none"/>
        </w:rPr>
        <w:t>Chi tiết tại Danh mục sản phẩm kèm theo (Phụ lục số 01)</w:t>
      </w:r>
    </w:p>
    <w:p>
      <w:pPr>
        <w:spacing w:before="0" w:after="80" w:line="276" w:lineRule="auto"/>
        <w:jc w:val="left"/>
      </w:pPr>
      <w:r>
        <w:rPr>
          <w:rFonts w:ascii="Times New Roman" w:hAnsi="Times New Roman"/>
          <w:b/>
          <w:i w:val="0"/>
          <w:sz w:val="24"/>
          <w:u w:val="none"/>
        </w:rPr>
        <w:t>Phù hợp với quy chuẩn kỹ thuật:</w:t>
      </w:r>
    </w:p>
    <w:p>
      <w:pPr>
        <w:spacing w:before="0" w:after="160" w:line="276" w:lineRule="auto"/>
        <w:jc w:val="left"/>
      </w:pPr>
      <w:r>
        <w:rPr>
          <w:rFonts w:ascii="Times New Roman" w:hAnsi="Times New Roman"/>
          <w:b/>
          <w:i w:val="0"/>
          <w:sz w:val="24"/>
          <w:u w:val="none"/>
        </w:rPr>
        <w:t xml:space="preserve">- Số hiệu, ký hiệu, tên gọi: </w:t>
      </w:r>
      <w:r>
        <w:rPr>
          <w:rFonts w:ascii="Times New Roman" w:hAnsi="Times New Roman"/>
          <w:b w:val="0"/>
          <w:i w:val="0"/>
          <w:sz w:val="24"/>
          <w:u w:val="none"/>
        </w:rPr>
        <w:t>QCVN 04:2009/BKHCN và Sửa đổi 1:2016 QCVN 04:2009/BKHCN - Quy chuẩn kỹ thuật quốc gia về an toàn đối với thiết bị điện và điện tử</w:t>
      </w:r>
    </w:p>
    <w:p>
      <w:pPr>
        <w:spacing w:before="0" w:after="80" w:line="276" w:lineRule="auto"/>
        <w:jc w:val="left"/>
      </w:pPr>
      <w:r>
        <w:rPr>
          <w:rFonts w:ascii="Times New Roman" w:hAnsi="Times New Roman"/>
          <w:b/>
          <w:i w:val="0"/>
          <w:sz w:val="24"/>
          <w:u w:val="none"/>
        </w:rPr>
        <w:t>Thông tin bổ sung:</w:t>
      </w:r>
    </w:p>
    <w:p>
      <w:pPr>
        <w:spacing w:before="0" w:after="80" w:line="276" w:lineRule="auto"/>
        <w:jc w:val="left"/>
      </w:pPr>
      <w:r>
        <w:rPr>
          <w:rFonts w:ascii="Times New Roman" w:hAnsi="Times New Roman"/>
          <w:b/>
          <w:i w:val="0"/>
          <w:sz w:val="24"/>
          <w:u w:val="none"/>
        </w:rPr>
        <w:t xml:space="preserve">- Căn cứ công bố hợp quy: </w:t>
      </w:r>
      <w:r>
        <w:rPr>
          <w:rFonts w:ascii="Times New Roman" w:hAnsi="Times New Roman"/>
          <w:b w:val="0"/>
          <w:i w:val="0"/>
          <w:sz w:val="24"/>
          <w:u w:val="none"/>
        </w:rPr>
        <w:t>Kết quả chứng nhận hợp quy của Tổ chức chứng nhận được chỉ định (Trung tâm Chứng nhận Phù hợp (QUACERT)).</w:t>
      </w:r>
    </w:p>
    <w:p>
      <w:pPr>
        <w:spacing w:before="0" w:after="160" w:line="276" w:lineRule="auto"/>
        <w:jc w:val="left"/>
      </w:pPr>
      <w:r>
        <w:rPr>
          <w:rFonts w:ascii="Times New Roman" w:hAnsi="Times New Roman"/>
          <w:b/>
          <w:i w:val="0"/>
          <w:sz w:val="24"/>
          <w:u w:val="none"/>
        </w:rPr>
        <w:t xml:space="preserve">- Phương thức đánh giá sự phù hợp: </w:t>
      </w:r>
      <w:r>
        <w:rPr>
          <w:rFonts w:ascii="Times New Roman" w:hAnsi="Times New Roman"/>
          <w:b w:val="0"/>
          <w:i w:val="0"/>
          <w:sz w:val="24"/>
          <w:u w:val="none"/>
        </w:rPr>
        <w:t>Phương thức 7 (thử nghiệm, đánh giá lô sản phẩm) quy định tại Thông tư số 14/2026/TT-BKHCN.</w:t>
      </w:r>
    </w:p>
    <w:p>
      <w:pPr>
        <w:spacing w:before="0" w:after="80" w:line="276" w:lineRule="auto"/>
        <w:jc w:val="left"/>
      </w:pPr>
      <w:r>
        <w:rPr>
          <w:rFonts w:ascii="Times New Roman" w:hAnsi="Times New Roman"/>
          <w:b/>
          <w:i w:val="0"/>
          <w:sz w:val="24"/>
          <w:u w:val="none"/>
        </w:rPr>
        <w:t>Loại hình đánh giá:</w:t>
      </w:r>
    </w:p>
    <w:p>
      <w:pPr>
        <w:spacing w:before="0" w:after="40" w:line="276" w:lineRule="auto"/>
        <w:jc w:val="left"/>
      </w:pPr>
      <w:r>
        <w:rPr>
          <w:rFonts w:ascii="Times New Roman" w:hAnsi="Times New Roman"/>
          <w:b/>
          <w:i w:val="0"/>
          <w:sz w:val="24"/>
          <w:u w:val="none"/>
        </w:rPr>
        <w:t xml:space="preserve">   [x]  Tổ chức chứng nhận đánh giá:</w:t>
      </w:r>
    </w:p>
    <w:p>
      <w:pPr>
        <w:spacing w:before="0" w:after="40" w:line="276" w:lineRule="auto"/>
        <w:jc w:val="left"/>
      </w:pPr>
      <w:r>
        <w:rPr>
          <w:rFonts w:ascii="Times New Roman" w:hAnsi="Times New Roman"/>
          <w:b/>
          <w:i w:val="0"/>
          <w:sz w:val="24"/>
          <w:u w:val="none"/>
        </w:rPr>
        <w:t xml:space="preserve">         + Tên tổ chức chứng nhận: </w:t>
      </w:r>
      <w:r>
        <w:rPr>
          <w:rFonts w:ascii="Times New Roman" w:hAnsi="Times New Roman"/>
          <w:b w:val="0"/>
          <w:i w:val="0"/>
          <w:sz w:val="24"/>
          <w:u w:val="none"/>
        </w:rPr>
        <w:t>Trung tâm Chứng nhận Phù hợp (QUACERT)</w:t>
      </w:r>
    </w:p>
    <w:p>
      <w:pPr>
        <w:spacing w:before="0" w:after="40" w:line="276" w:lineRule="auto"/>
        <w:jc w:val="left"/>
      </w:pPr>
      <w:r>
        <w:rPr>
          <w:rFonts w:ascii="Times New Roman" w:hAnsi="Times New Roman"/>
          <w:b/>
          <w:i w:val="0"/>
          <w:sz w:val="24"/>
          <w:u w:val="none"/>
        </w:rPr>
        <w:t xml:space="preserve">         + Số giấy chứng nhận: </w:t>
      </w:r>
      <w:r>
        <w:rPr>
          <w:rFonts w:ascii="Times New Roman" w:hAnsi="Times New Roman"/>
          <w:b w:val="0"/>
          <w:i w:val="0"/>
          <w:sz w:val="24"/>
          <w:u w:val="none"/>
        </w:rPr>
        <w:t>26.0702/GCNHQ-QUACERT-7</w:t>
      </w:r>
    </w:p>
    <w:p>
      <w:pPr>
        <w:spacing w:before="0" w:after="120" w:line="276" w:lineRule="auto"/>
        <w:jc w:val="left"/>
      </w:pPr>
      <w:r>
        <w:rPr>
          <w:rFonts w:ascii="Times New Roman" w:hAnsi="Times New Roman"/>
          <w:b/>
          <w:i w:val="0"/>
          <w:sz w:val="24"/>
          <w:u w:val="none"/>
        </w:rPr>
        <w:t xml:space="preserve">         + Ngày cấp: </w:t>
      </w:r>
      <w:r>
        <w:rPr>
          <w:rFonts w:ascii="Times New Roman" w:hAnsi="Times New Roman"/>
          <w:b w:val="0"/>
          <w:i w:val="0"/>
          <w:sz w:val="24"/>
          <w:u w:val="none"/>
        </w:rPr>
        <w:t>30 tháng 06 năm 2026</w:t>
      </w:r>
    </w:p>
    <w:p>
      <w:pPr>
        <w:spacing w:before="0" w:after="240" w:line="276" w:lineRule="auto"/>
        <w:jc w:val="left"/>
      </w:pPr>
      <w:r>
        <w:rPr>
          <w:rFonts w:ascii="Times New Roman" w:hAnsi="Times New Roman"/>
          <w:b/>
          <w:i w:val="0"/>
          <w:sz w:val="24"/>
          <w:u w:val="none"/>
        </w:rPr>
        <w:t xml:space="preserve">   [ ]  Tự đánh giá: </w:t>
      </w:r>
      <w:r>
        <w:rPr>
          <w:rFonts w:ascii="Times New Roman" w:hAnsi="Times New Roman"/>
          <w:b w:val="0"/>
          <w:i w:val="0"/>
          <w:sz w:val="24"/>
          <w:u w:val="none"/>
        </w:rPr>
        <w:t>Ngày lãnh đạo tổ chức, cá nhân ký xác nhận Báo cáo tự đánh giá: ........................</w:t>
      </w:r>
    </w:p>
    <w:p>
      <w:pPr>
        <w:spacing w:before="0" w:after="360" w:line="276" w:lineRule="auto"/>
        <w:jc w:val="both"/>
      </w:pPr>
      <w:r>
        <w:rPr>
          <w:rFonts w:ascii="Times New Roman" w:hAnsi="Times New Roman"/>
          <w:b/>
          <w:i w:val="0"/>
          <w:sz w:val="24"/>
          <w:u w:val="none"/>
        </w:rPr>
        <w:t xml:space="preserve">CÔNG TY TNHH THƯƠNG MẠI XUẤT NHẬP KHẨU EUREKA </w:t>
      </w:r>
      <w:r>
        <w:rPr>
          <w:rFonts w:ascii="Times New Roman" w:hAnsi="Times New Roman"/>
          <w:b w:val="0"/>
          <w:i w:val="0"/>
          <w:sz w:val="24"/>
          <w:u w:val="none"/>
        </w:rPr>
        <w:t>cam kết và chịu trách nhiệm về tính phù hợp của sản phẩm, hàng hóa, quá trình, dịch vụ, môi trường và các đối tượng khác trong hoạt động kinh tế - xã hội do mình sản xuất, kinh doanh, bảo quản, vận chuyển, sử dụng, khai thác.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ĐẠI DIỆN TỔ CHỨC, CÁ NHÂN</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