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1A3A6B"/>
          <w:sz w:val="26"/>
          <w:u w:val="none"/>
        </w:rPr>
        <w:t>CỘNG HÒA XÃ HỘI CHỦ NGHĨA VIỆT NAM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1A3A6B"/>
          <w:sz w:val="24"/>
          <w:u w:val="none"/>
        </w:rPr>
        <w:t>Độc lập - Tự do - Hạnh phúc</w:t>
      </w:r>
    </w:p>
    <w:p>
      <w:pPr>
        <w:spacing w:before="60" w:after="60"/>
        <w:pBdr>
          <w:bottom w:val="single" w:sz="12" w:space="1" w:color="C89B2A"/>
        </w:pBdr>
      </w:pPr>
    </w:p>
    <w:p/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1A3A6B"/>
          <w:sz w:val="28"/>
          <w:u w:val="none"/>
        </w:rPr>
        <w:t>PHỤ LỤC HỢP ĐỒNG ỦY THÁC NHẬP KHẨU LCL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/>
          <w:color w:val="C89B2A"/>
          <w:sz w:val="24"/>
          <w:u w:val="none"/>
        </w:rPr>
        <w:t>Số: 01/2026/PLHĐ-ERK/PMAI</w:t>
      </w:r>
    </w:p>
    <w:p>
      <w:pPr>
        <w:jc w:val="center"/>
      </w:pPr>
      <w:r>
        <w:rPr>
          <w:rFonts w:ascii="Times New Roman" w:hAnsi="Times New Roman"/>
          <w:b w:val="0"/>
          <w:i/>
          <w:color w:val="555577"/>
          <w:sz w:val="22"/>
          <w:u w:val="none"/>
        </w:rPr>
        <w:t>(Đính kèm Hợp đồng Ủy thác số: 01/2026/HĐUT-ERK/PMAI)</w:t>
      </w:r>
    </w:p>
    <w:p/>
    <w:p>
      <w:pPr>
        <w:spacing w:before="20" w:after="40"/>
        <w:ind w:left="283"/>
      </w:pPr>
      <w:r>
        <w:rPr>
          <w:rFonts w:ascii="Times New Roman" w:hAnsi="Times New Roman"/>
          <w:b/>
          <w:i w:val="0"/>
          <w:color w:val="1A3A6B"/>
          <w:sz w:val="24"/>
          <w:u w:val="none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 xml:space="preserve">Tên hàng hóa: </w:t>
      </w: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................................................................ (Việt + Trung)</w:t>
      </w:r>
    </w:p>
    <w:p>
      <w:pPr>
        <w:spacing w:before="20" w:after="40"/>
        <w:ind w:left="283"/>
      </w:pPr>
      <w:r>
        <w:rPr>
          <w:rFonts w:ascii="Times New Roman" w:hAnsi="Times New Roman"/>
          <w:b/>
          <w:i w:val="0"/>
          <w:color w:val="1A3A6B"/>
          <w:sz w:val="24"/>
          <w:u w:val="none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 xml:space="preserve">Số lượng: </w:t>
      </w: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.................................................................</w:t>
      </w:r>
    </w:p>
    <w:p>
      <w:pPr>
        <w:spacing w:before="20" w:after="40"/>
        <w:ind w:left="283"/>
      </w:pPr>
      <w:r>
        <w:rPr>
          <w:rFonts w:ascii="Times New Roman" w:hAnsi="Times New Roman"/>
          <w:b/>
          <w:i w:val="0"/>
          <w:color w:val="1A3A6B"/>
          <w:sz w:val="24"/>
          <w:u w:val="none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 xml:space="preserve">Quy cách đóng gói: </w:t>
      </w:r>
      <w:r>
        <w:rPr>
          <w:rFonts w:ascii="Times New Roman" w:hAnsi="Times New Roman"/>
          <w:b w:val="0"/>
          <w:i w:val="0"/>
          <w:sz w:val="24"/>
          <w:u w:val="none"/>
        </w:rPr>
        <w:t>Hàng lẻ đóng ghép container LCL / Hàng nguyên cont FCL</w:t>
      </w:r>
    </w:p>
    <w:p>
      <w:pPr>
        <w:spacing w:before="20" w:after="40"/>
        <w:ind w:left="283"/>
      </w:pPr>
      <w:r>
        <w:rPr>
          <w:rFonts w:ascii="Times New Roman" w:hAnsi="Times New Roman"/>
          <w:b/>
          <w:i w:val="0"/>
          <w:color w:val="1A3A6B"/>
          <w:sz w:val="24"/>
          <w:u w:val="none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 xml:space="preserve">Tuyến đường: </w:t>
      </w: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.................................................................</w:t>
      </w:r>
    </w:p>
    <w:p>
      <w:pPr>
        <w:spacing w:before="60" w:after="60"/>
        <w:pBdr>
          <w:bottom w:val="single" w:sz="6" w:space="1" w:color="1A3A6B"/>
        </w:pBdr>
      </w:pPr>
    </w:p>
    <w:p>
      <w:pPr>
        <w:spacing w:before="160" w:after="60"/>
      </w:pPr>
      <w:r>
        <w:rPr>
          <w:rFonts w:ascii="Times New Roman" w:hAnsi="Times New Roman"/>
          <w:b/>
          <w:i w:val="0"/>
          <w:color w:val="1A3A6B"/>
          <w:sz w:val="25"/>
          <w:u w:val="none"/>
        </w:rPr>
        <w:t>BẢNG TỔNG HỢP CHI PHÍ &amp; THUẾ (ĐỊNH LƯỢNG CHI TIẾT)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u w:val="none"/>
              </w:rPr>
              <w:t>STT</w:t>
            </w:r>
          </w:p>
        </w:tc>
        <w:tc>
          <w:tcPr>
            <w:tcW w:type="dxa" w:w="2551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u w:val="none"/>
              </w:rPr>
              <w:t>Khoản mục chi phí</w:t>
            </w:r>
          </w:p>
        </w:tc>
        <w:tc>
          <w:tcPr>
            <w:tcW w:type="dxa" w:w="1984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u w:val="none"/>
              </w:rPr>
              <w:t>Công thức &amp; Cách tính</w:t>
            </w:r>
          </w:p>
        </w:tc>
        <w:tc>
          <w:tcPr>
            <w:tcW w:type="dxa" w:w="1247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u w:val="none"/>
              </w:rPr>
              <w:t>Giá trị chưa thuế (VND)</w:t>
            </w:r>
          </w:p>
        </w:tc>
        <w:tc>
          <w:tcPr>
            <w:tcW w:type="dxa" w:w="850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u w:val="none"/>
              </w:rPr>
              <w:t>Thuế suất</w:t>
            </w:r>
          </w:p>
        </w:tc>
        <w:tc>
          <w:tcPr>
            <w:tcW w:type="dxa" w:w="1247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u w:val="none"/>
              </w:rPr>
              <w:t>Tiền thuế GTGT (VND)</w:t>
            </w:r>
          </w:p>
        </w:tc>
        <w:tc>
          <w:tcPr>
            <w:tcW w:type="dxa" w:w="1247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u w:val="none"/>
              </w:rPr>
              <w:t>Tổng cộng có thuế (VND)</w:t>
            </w:r>
          </w:p>
        </w:tc>
      </w:tr>
      <w:tr>
        <w:tc>
          <w:tcPr>
            <w:tcW w:type="dxa" w:w="567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I</w:t>
            </w:r>
          </w:p>
        </w:tc>
        <w:tc>
          <w:tcPr>
            <w:tcW w:type="dxa" w:w="2551"/>
            <w:shd w:val="clear" w:color="auto" w:fill="EEF3FB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Phần hàng hóa &amp; Thuế nhập khẩu (Ủy thác hộ)</w:t>
            </w:r>
          </w:p>
        </w:tc>
        <w:tc>
          <w:tcPr>
            <w:tcW w:type="dxa" w:w="1984"/>
            <w:shd w:val="clear" w:color="auto" w:fill="EEF3FB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850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Trị giá hàng khai báo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Trị giá hóa đơn mua hàng quốc tế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[Trị giá]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[Trị giá]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Thuế Nhập khẩu ước tính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Trị giá hàng × Thuế suất NK (%)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[Tiền thuế NK]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[Tiền thuế NK]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3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Thuế VAT Hàng nhập khẩu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(Trị giá hàng + Thuế NK) × 10%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10%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[Tiền VAT NK]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[Tiền VAT NK]</w:t>
            </w:r>
          </w:p>
        </w:tc>
      </w:tr>
      <w:tr>
        <w:tc>
          <w:tcPr>
            <w:tcW w:type="dxa" w:w="56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2551"/>
            <w:shd w:val="clear" w:color="auto" w:fill="D4E4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Cộng nhóm I (Tạm tính)</w:t>
            </w:r>
          </w:p>
        </w:tc>
        <w:tc>
          <w:tcPr>
            <w:tcW w:type="dxa" w:w="1984"/>
            <w:shd w:val="clear" w:color="auto" w:fill="D4E4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(Ủy thác hộ)</w:t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[Cộng I chưa VAT]</w:t>
            </w:r>
          </w:p>
        </w:tc>
        <w:tc>
          <w:tcPr>
            <w:tcW w:type="dxa" w:w="850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[Tiền VAT NK]</w:t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[Tổng I có VAT]</w:t>
            </w:r>
          </w:p>
        </w:tc>
      </w:tr>
      <w:tr>
        <w:tc>
          <w:tcPr>
            <w:tcW w:type="dxa" w:w="567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II</w:t>
            </w:r>
          </w:p>
        </w:tc>
        <w:tc>
          <w:tcPr>
            <w:tcW w:type="dxa" w:w="2551"/>
            <w:shd w:val="clear" w:color="auto" w:fill="EEF3FB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Phần dịch vụ Logistics &amp; Phí ủy thác</w:t>
            </w:r>
          </w:p>
        </w:tc>
        <w:tc>
          <w:tcPr>
            <w:tcW w:type="dxa" w:w="1984"/>
            <w:shd w:val="clear" w:color="auto" w:fill="EEF3FB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850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Cước vận chuyển LCL / FCL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Đơn giá cước × Thể tích/Trọng lượng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[Tiền cước]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10%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[VAT cước]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[Tổng cước có VAT]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Phí dịch vụ ủy thác nhập khẩu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Trị giá hàng × 2% (Phí dịch vụ)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[Phí dịch vụ]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10%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[VAT dịch vụ]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  <w:u w:val="none"/>
              </w:rPr>
              <w:t>[Tổng dịch vụ có VAT]</w:t>
            </w:r>
          </w:p>
        </w:tc>
      </w:tr>
      <w:tr>
        <w:tc>
          <w:tcPr>
            <w:tcW w:type="dxa" w:w="56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2551"/>
            <w:shd w:val="clear" w:color="auto" w:fill="D4E4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Cộng nhóm II (Phí dịch vụ)</w:t>
            </w:r>
          </w:p>
        </w:tc>
        <w:tc>
          <w:tcPr>
            <w:tcW w:type="dxa" w:w="1984"/>
            <w:shd w:val="clear" w:color="auto" w:fill="D4E4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(Doanh thu Eureka)</w:t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[Cộng II chưa VAT]</w:t>
            </w:r>
          </w:p>
        </w:tc>
        <w:tc>
          <w:tcPr>
            <w:tcW w:type="dxa" w:w="850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[Tổng VAT dịch vụ]</w:t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[Tổng II có VAT]</w:t>
            </w:r>
          </w:p>
        </w:tc>
      </w:tr>
      <w:tr>
        <w:tc>
          <w:tcPr>
            <w:tcW w:type="dxa" w:w="56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TỔNG</w:t>
            </w:r>
          </w:p>
        </w:tc>
        <w:tc>
          <w:tcPr>
            <w:tcW w:type="dxa" w:w="2551"/>
            <w:shd w:val="clear" w:color="auto" w:fill="D4E4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TỔNG GIÁ TRỊ TOÀN LÔ HÀNG</w:t>
            </w:r>
          </w:p>
        </w:tc>
        <w:tc>
          <w:tcPr>
            <w:tcW w:type="dxa" w:w="1984"/>
            <w:shd w:val="clear" w:color="auto" w:fill="D4E4FF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Cộng Nhóm I + Nhóm II</w:t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[Tổng chưa VAT]</w:t>
            </w:r>
          </w:p>
        </w:tc>
        <w:tc>
          <w:tcPr>
            <w:tcW w:type="dxa" w:w="850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[Tổng VAT]</w:t>
            </w:r>
          </w:p>
        </w:tc>
        <w:tc>
          <w:tcPr>
            <w:tcW w:type="dxa" w:w="1247"/>
            <w:shd w:val="clear" w:color="auto" w:fill="D4E4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19"/>
                <w:u w:val="none"/>
              </w:rPr>
              <w:t>[TỔNG CỘNG LÔ HÀNG]</w:t>
            </w:r>
          </w:p>
        </w:tc>
      </w:tr>
    </w:tbl>
    <w:p/>
    <w:p>
      <w:pPr>
        <w:spacing w:before="60" w:after="60"/>
        <w:pBdr>
          <w:bottom w:val="single" w:sz="6" w:space="1" w:color="1A3A6B"/>
        </w:pBdr>
      </w:pPr>
    </w:p>
    <w:p>
      <w:pPr>
        <w:spacing w:before="160" w:after="60"/>
      </w:pPr>
      <w:r>
        <w:rPr>
          <w:rFonts w:ascii="Times New Roman" w:hAnsi="Times New Roman"/>
          <w:b/>
          <w:i w:val="0"/>
          <w:color w:val="1A3A6B"/>
          <w:sz w:val="25"/>
          <w:u w:val="none"/>
        </w:rPr>
        <w:t>TIẾN ĐỘ THANH TOÁN (LỊCH TRÌNH DÒNG TIỀN BẢO VỆ DOANH NGHIỆP)</w:t>
      </w:r>
    </w:p>
    <w:p>
      <w:r>
        <w:rPr>
          <w:rFonts w:ascii="Times New Roman" w:hAnsi="Times New Roman"/>
          <w:b/>
          <w:i w:val="0"/>
          <w:color w:val="CC0000"/>
          <w:sz w:val="24"/>
          <w:u w:val="none"/>
        </w:rPr>
        <w:t>Đợt 1: Tạm ứng trước khi thông quan &amp; mua hàng</w:t>
      </w:r>
    </w:p>
    <w:p>
      <w:pPr>
        <w:spacing w:before="20" w:after="40"/>
        <w:ind w:left="454"/>
      </w:pPr>
      <w:r>
        <w:rPr>
          <w:rFonts w:ascii="Times New Roman" w:hAnsi="Times New Roman"/>
          <w:b/>
          <w:i w:val="0"/>
          <w:sz w:val="24"/>
          <w:u w:val="none"/>
        </w:rPr>
        <w:t xml:space="preserve">Số tiền thanh toán: </w:t>
      </w:r>
      <w:r>
        <w:rPr>
          <w:rFonts w:ascii="Times New Roman" w:hAnsi="Times New Roman"/>
          <w:b w:val="0"/>
          <w:i w:val="0"/>
          <w:sz w:val="24"/>
          <w:u w:val="none"/>
        </w:rPr>
        <w:t>[Tiền hàng + Thuế NK + Thuế VAT NK + Cước vận chuyển] VND</w:t>
      </w:r>
    </w:p>
    <w:p>
      <w:pPr>
        <w:spacing w:before="20" w:after="40"/>
        <w:ind w:left="454"/>
      </w:pPr>
      <w:r>
        <w:rPr>
          <w:rFonts w:ascii="Times New Roman" w:hAnsi="Times New Roman"/>
          <w:b/>
          <w:i w:val="0"/>
          <w:sz w:val="24"/>
          <w:u w:val="none"/>
        </w:rPr>
        <w:t xml:space="preserve">Chi tiết bao gồm: </w:t>
      </w:r>
      <w:r>
        <w:rPr>
          <w:rFonts w:ascii="Times New Roman" w:hAnsi="Times New Roman"/>
          <w:b w:val="0"/>
          <w:i w:val="0"/>
          <w:sz w:val="24"/>
          <w:u w:val="none"/>
        </w:rPr>
        <w:t>Trị giá tiền hàng (Để Eureka thanh toán quốc tế cho nhà cung cấp); Thuế NK tạm tính và Thuế VAT hàng NK (Để Eureka nộp thuế thông quan); Cước vận chuyển quốc tế tạm ứng trước.</w:t>
      </w:r>
    </w:p>
    <w:p>
      <w:pPr>
        <w:spacing w:before="20" w:after="40"/>
        <w:ind w:left="454"/>
      </w:pPr>
      <w:r>
        <w:rPr>
          <w:rFonts w:ascii="Times New Roman" w:hAnsi="Times New Roman"/>
          <w:b/>
          <w:i w:val="0"/>
          <w:sz w:val="24"/>
          <w:u w:val="none"/>
        </w:rPr>
        <w:t xml:space="preserve">Thời hạn thanh toán: </w:t>
      </w:r>
      <w:r>
        <w:rPr>
          <w:rFonts w:ascii="Times New Roman" w:hAnsi="Times New Roman"/>
          <w:b w:val="0"/>
          <w:i w:val="0"/>
          <w:sz w:val="24"/>
          <w:u w:val="none"/>
        </w:rPr>
        <w:t>Trong vòng 02 ngày làm việc kể từ ngày ký Phụ lục này (Trước khi hàng xếp lên phương tiện vận chuyển).</w:t>
      </w:r>
    </w:p>
    <w:p/>
    <w:p>
      <w:r>
        <w:rPr>
          <w:rFonts w:ascii="Times New Roman" w:hAnsi="Times New Roman"/>
          <w:b/>
          <w:i w:val="0"/>
          <w:color w:val="1A3A6B"/>
          <w:sz w:val="24"/>
          <w:u w:val="none"/>
        </w:rPr>
        <w:t>Đợt 2: Tất toán dịch vụ khi bàn giao hàng và Hóa đơn tài chính GTGT đầu vào</w:t>
      </w:r>
    </w:p>
    <w:p>
      <w:pPr>
        <w:spacing w:before="20" w:after="40"/>
        <w:ind w:left="454"/>
      </w:pPr>
      <w:r>
        <w:rPr>
          <w:rFonts w:ascii="Times New Roman" w:hAnsi="Times New Roman"/>
          <w:b/>
          <w:i w:val="0"/>
          <w:sz w:val="24"/>
          <w:u w:val="none"/>
        </w:rPr>
        <w:t xml:space="preserve">Số tiền thanh toán: </w:t>
      </w:r>
      <w:r>
        <w:rPr>
          <w:rFonts w:ascii="Times New Roman" w:hAnsi="Times New Roman"/>
          <w:b w:val="0"/>
          <w:i w:val="0"/>
          <w:sz w:val="24"/>
          <w:u w:val="none"/>
        </w:rPr>
        <w:t>[Phí dịch vụ ủy thác + Thuế VAT cước + Thuế VAT phí dịch vụ] VND</w:t>
      </w:r>
    </w:p>
    <w:p>
      <w:pPr>
        <w:spacing w:before="20" w:after="40"/>
        <w:ind w:left="454"/>
      </w:pPr>
      <w:r>
        <w:rPr>
          <w:rFonts w:ascii="Times New Roman" w:hAnsi="Times New Roman"/>
          <w:b/>
          <w:i w:val="0"/>
          <w:sz w:val="24"/>
          <w:u w:val="none"/>
        </w:rPr>
        <w:t xml:space="preserve">Thời hạn thanh toán: </w:t>
      </w:r>
      <w:r>
        <w:rPr>
          <w:rFonts w:ascii="Times New Roman" w:hAnsi="Times New Roman"/>
          <w:b w:val="0"/>
          <w:i w:val="0"/>
          <w:sz w:val="24"/>
          <w:u w:val="none"/>
        </w:rPr>
        <w:t>Ngay khi hàng hóa về tới kho đích của Eureka tại Việt Nam và Bên B phát hành thông báo giao hàng kèm theo bản scan Hóa đơn GTGT dịch vụ đầu vào.</w:t>
      </w:r>
    </w:p>
    <w:p>
      <w:pPr>
        <w:spacing w:before="60" w:after="60"/>
        <w:pBdr>
          <w:bottom w:val="single" w:sz="6" w:space="1" w:color="1A3A6B"/>
        </w:pBdr>
      </w:pPr>
    </w:p>
    <w:p>
      <w:pPr>
        <w:spacing w:before="160" w:after="60"/>
      </w:pPr>
      <w:r>
        <w:rPr>
          <w:rFonts w:ascii="Times New Roman" w:hAnsi="Times New Roman"/>
          <w:b/>
          <w:i w:val="0"/>
          <w:color w:val="1A3A6B"/>
          <w:sz w:val="25"/>
          <w:u w:val="none"/>
        </w:rPr>
        <w:t>NGUYÊN TẮC XUẤT HÓA ĐƠN ĐẦU VÀO ĐỂ HỢP THỨC HÓA DOANH NGHIỆP</w:t>
      </w:r>
    </w:p>
    <w:p>
      <w:pPr>
        <w:spacing w:before="20" w:after="6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Để Khách hàng hạch toán thuế GTGT và chi phí hợp lệ 100%, Eureka Logistics sẽ phát hành 02 Hóa đơn tài chính như sau:</w:t>
      </w:r>
    </w:p>
    <w:p>
      <w:pPr>
        <w:spacing w:before="120" w:after="40"/>
        <w:ind w:left="170"/>
      </w:pPr>
      <w:r>
        <w:rPr>
          <w:rFonts w:ascii="Times New Roman" w:hAnsi="Times New Roman"/>
          <w:b/>
          <w:i w:val="0"/>
          <w:color w:val="1A3A6B"/>
          <w:sz w:val="24"/>
          <w:u w:val="none"/>
        </w:rPr>
        <w:t>HÓA ĐƠN 1: BÀN GIAO HÀNG HÓA NHẬP KHẨU ỦY THÁC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 w:val="0"/>
          <w:color w:val="C89B2A"/>
          <w:sz w:val="23"/>
          <w:u w:val="none"/>
        </w:rPr>
        <w:t xml:space="preserve">• </w:t>
      </w:r>
      <w:r>
        <w:rPr>
          <w:rFonts w:ascii="Times New Roman" w:hAnsi="Times New Roman"/>
          <w:b/>
          <w:i w:val="0"/>
          <w:sz w:val="23"/>
          <w:u w:val="none"/>
        </w:rPr>
        <w:t xml:space="preserve">Tên hàng hóa ghi trên hóa đơn: </w:t>
      </w:r>
      <w:r>
        <w:rPr>
          <w:rFonts w:ascii="Times New Roman" w:hAnsi="Times New Roman"/>
          <w:b w:val="0"/>
          <w:i w:val="0"/>
          <w:sz w:val="23"/>
          <w:u w:val="none"/>
        </w:rPr>
        <w:t>"Tên hàng hóa (Trả lại hàng hóa nhập khẩu ủy thác theo HĐ số 01/2026/HĐUT-ERK/PMAI)"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 w:val="0"/>
          <w:color w:val="C89B2A"/>
          <w:sz w:val="23"/>
          <w:u w:val="none"/>
        </w:rPr>
        <w:t xml:space="preserve">• </w:t>
      </w:r>
      <w:r>
        <w:rPr>
          <w:rFonts w:ascii="Times New Roman" w:hAnsi="Times New Roman"/>
          <w:b/>
          <w:i w:val="0"/>
          <w:sz w:val="23"/>
          <w:u w:val="none"/>
        </w:rPr>
        <w:t xml:space="preserve">Đơn giá bàn giao: </w:t>
      </w:r>
      <w:r>
        <w:rPr>
          <w:rFonts w:ascii="Times New Roman" w:hAnsi="Times New Roman"/>
          <w:b w:val="0"/>
          <w:i w:val="0"/>
          <w:sz w:val="23"/>
          <w:u w:val="none"/>
        </w:rPr>
        <w:t>= Giá mua thực tế + Thuế NK thực tế.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 w:val="0"/>
          <w:color w:val="C89B2A"/>
          <w:sz w:val="23"/>
          <w:u w:val="none"/>
        </w:rPr>
        <w:t xml:space="preserve">• </w:t>
      </w:r>
      <w:r>
        <w:rPr>
          <w:rFonts w:ascii="Times New Roman" w:hAnsi="Times New Roman"/>
          <w:b/>
          <w:i w:val="0"/>
          <w:sz w:val="23"/>
          <w:u w:val="none"/>
        </w:rPr>
        <w:t xml:space="preserve">Thuế suất GTGT: </w:t>
      </w:r>
      <w:r>
        <w:rPr>
          <w:rFonts w:ascii="Times New Roman" w:hAnsi="Times New Roman"/>
          <w:b w:val="0"/>
          <w:i w:val="0"/>
          <w:sz w:val="23"/>
          <w:u w:val="none"/>
        </w:rPr>
        <w:t>10%.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 w:val="0"/>
          <w:color w:val="C89B2A"/>
          <w:sz w:val="23"/>
          <w:u w:val="none"/>
        </w:rPr>
        <w:t xml:space="preserve">• </w:t>
      </w:r>
      <w:r>
        <w:rPr>
          <w:rFonts w:ascii="Times New Roman" w:hAnsi="Times New Roman"/>
          <w:b/>
          <w:i w:val="0"/>
          <w:sz w:val="23"/>
          <w:u w:val="none"/>
        </w:rPr>
        <w:t xml:space="preserve">Tiền thuế GTGT: </w:t>
      </w:r>
      <w:r>
        <w:rPr>
          <w:rFonts w:ascii="Times New Roman" w:hAnsi="Times New Roman"/>
          <w:b w:val="0"/>
          <w:i w:val="0"/>
          <w:sz w:val="23"/>
          <w:u w:val="none"/>
        </w:rPr>
        <w:t>[Tiền thuế GTGT hàng NK thực tế] (Trùng khớp 100% với số thuế GTGT đã nộp tại Hải quan Việt Nam).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 w:val="0"/>
          <w:color w:val="C89B2A"/>
          <w:sz w:val="23"/>
          <w:u w:val="none"/>
        </w:rPr>
        <w:t xml:space="preserve">• </w:t>
      </w:r>
      <w:r>
        <w:rPr>
          <w:rFonts w:ascii="Times New Roman" w:hAnsi="Times New Roman"/>
          <w:b/>
          <w:i w:val="0"/>
          <w:sz w:val="23"/>
          <w:u w:val="none"/>
        </w:rPr>
        <w:t xml:space="preserve">Tổng giá trị thanh toán hóa đơn: </w:t>
      </w:r>
      <w:r>
        <w:rPr>
          <w:rFonts w:ascii="Times New Roman" w:hAnsi="Times New Roman"/>
          <w:b w:val="0"/>
          <w:i w:val="0"/>
          <w:sz w:val="23"/>
          <w:u w:val="none"/>
        </w:rPr>
        <w:t>[Tiền hàng + Thuế NK + Thuế VAT NK] (Đã cấn trừ vào khoản tạm ứng Đợt 1).</w:t>
      </w:r>
    </w:p>
    <w:p>
      <w:pPr>
        <w:spacing w:before="120" w:after="40"/>
        <w:ind w:left="170"/>
      </w:pPr>
      <w:r>
        <w:rPr>
          <w:rFonts w:ascii="Times New Roman" w:hAnsi="Times New Roman"/>
          <w:b/>
          <w:i w:val="0"/>
          <w:color w:val="1A3A6B"/>
          <w:sz w:val="24"/>
          <w:u w:val="none"/>
        </w:rPr>
        <w:t>HÓA ĐƠN 2: DỊCH VỤ LOGISTICS &amp; PHÍ ỦY THÁC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 w:val="0"/>
          <w:color w:val="C89B2A"/>
          <w:sz w:val="23"/>
          <w:u w:val="none"/>
        </w:rPr>
        <w:t xml:space="preserve">• </w:t>
      </w:r>
      <w:r>
        <w:rPr>
          <w:rFonts w:ascii="Times New Roman" w:hAnsi="Times New Roman"/>
          <w:b/>
          <w:i w:val="0"/>
          <w:sz w:val="23"/>
          <w:u w:val="none"/>
        </w:rPr>
        <w:t xml:space="preserve">Nội dung ghi trên hóa đơn: </w:t>
      </w:r>
      <w:r>
        <w:rPr>
          <w:rFonts w:ascii="Times New Roman" w:hAnsi="Times New Roman"/>
          <w:b w:val="0"/>
          <w:i w:val="0"/>
          <w:sz w:val="23"/>
          <w:u w:val="none"/>
        </w:rPr>
        <w:t>Phí dịch vụ ủy thác nhập khẩu (2%) và Cước vận chuyển quốc tế.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 w:val="0"/>
          <w:color w:val="C89B2A"/>
          <w:sz w:val="23"/>
          <w:u w:val="none"/>
        </w:rPr>
        <w:t xml:space="preserve">• </w:t>
      </w:r>
      <w:r>
        <w:rPr>
          <w:rFonts w:ascii="Times New Roman" w:hAnsi="Times New Roman"/>
          <w:b/>
          <w:i w:val="0"/>
          <w:sz w:val="23"/>
          <w:u w:val="none"/>
        </w:rPr>
        <w:t xml:space="preserve">Thuế suất GTGT: </w:t>
      </w:r>
      <w:r>
        <w:rPr>
          <w:rFonts w:ascii="Times New Roman" w:hAnsi="Times New Roman"/>
          <w:b w:val="0"/>
          <w:i w:val="0"/>
          <w:sz w:val="23"/>
          <w:u w:val="none"/>
        </w:rPr>
        <w:t>10%.</w:t>
      </w:r>
    </w:p>
    <w:p>
      <w:pPr>
        <w:spacing w:before="20" w:after="40"/>
        <w:ind w:left="567"/>
      </w:pPr>
      <w:r>
        <w:rPr>
          <w:rFonts w:ascii="Times New Roman" w:hAnsi="Times New Roman"/>
          <w:b/>
          <w:i w:val="0"/>
          <w:color w:val="C89B2A"/>
          <w:sz w:val="23"/>
          <w:u w:val="none"/>
        </w:rPr>
        <w:t xml:space="preserve">• </w:t>
      </w:r>
      <w:r>
        <w:rPr>
          <w:rFonts w:ascii="Times New Roman" w:hAnsi="Times New Roman"/>
          <w:b/>
          <w:i w:val="0"/>
          <w:sz w:val="23"/>
          <w:u w:val="none"/>
        </w:rPr>
        <w:t xml:space="preserve">Tổng giá trị thanh toán hóa đơn: </w:t>
      </w:r>
      <w:r>
        <w:rPr>
          <w:rFonts w:ascii="Times New Roman" w:hAnsi="Times New Roman"/>
          <w:b w:val="0"/>
          <w:i w:val="0"/>
          <w:sz w:val="23"/>
          <w:u w:val="none"/>
        </w:rPr>
        <w:t>[Tiền cước + Phí dịch vụ + Thuế VAT dịch vụ] (Đã cấn trừ phần cước tạm ứng ở Đợt 1, khách thanh toán nốt phần còn lại ở Đợt 2).</w:t>
      </w:r>
    </w:p>
    <w:p>
      <w:pPr>
        <w:spacing w:before="60" w:after="60"/>
        <w:pBdr>
          <w:bottom w:val="single" w:sz="6" w:space="1" w:color="1A3A6B"/>
        </w:pBdr>
      </w:pPr>
    </w:p>
    <w:p/>
    <w:p>
      <w:pPr>
        <w:jc w:val="center"/>
      </w:pPr>
      <w:r>
        <w:rPr>
          <w:rFonts w:ascii="Times New Roman" w:hAnsi="Times New Roman"/>
          <w:b/>
          <w:i/>
          <w:color w:val="1A3A6B"/>
          <w:sz w:val="24"/>
          <w:u w:val="none"/>
        </w:rPr>
        <w:t>Hà Nội, ngày ......... tháng ......... năm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23"/>
                <w:u w:val="none"/>
              </w:rPr>
              <w:t>ĐẠI DIỆN BÊN A</w:t>
            </w:r>
          </w:p>
        </w:tc>
        <w:tc>
          <w:tcPr>
            <w:tcW w:type="dxa" w:w="4702"/>
            <w:shd w:val="clear" w:color="auto" w:fill="EEF3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23"/>
                <w:u w:val="none"/>
              </w:rPr>
              <w:t>ĐẠI DIỆN BÊN B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3"/>
                <w:u w:val="none"/>
              </w:rPr>
              <w:t>(Ký, ghi rõ họ tên và đóng dấu)</w:t>
            </w:r>
          </w:p>
        </w:tc>
        <w:tc>
          <w:tcPr>
            <w:tcW w:type="dxa" w:w="47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3"/>
                <w:u w:val="none"/>
              </w:rPr>
              <w:t>(Ký, ghi rõ họ tên và đóng dấu)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3"/>
                <w:u w:val="none"/>
              </w:rPr>
            </w:r>
          </w:p>
        </w:tc>
        <w:tc>
          <w:tcPr>
            <w:tcW w:type="dxa" w:w="47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3"/>
                <w:u w:val="none"/>
              </w:rPr>
            </w:r>
          </w:p>
        </w:tc>
      </w:tr>
      <w:tr>
        <w:tc>
          <w:tcPr>
            <w:tcW w:type="dxa" w:w="47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23"/>
                <w:u w:val="none"/>
              </w:rPr>
              <w:t>Bà Nguyễn Thanh Mai</w:t>
              <w:br/>
              <w:t>Giám Đốc</w:t>
            </w:r>
          </w:p>
        </w:tc>
        <w:tc>
          <w:tcPr>
            <w:tcW w:type="dxa" w:w="47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A3A6B"/>
                <w:sz w:val="23"/>
                <w:u w:val="none"/>
              </w:rPr>
              <w:t>Ông Trần Đức Thắng</w:t>
              <w:br/>
              <w:t>Tổng Giám Đốc</w:t>
            </w:r>
          </w:p>
        </w:tc>
      </w:tr>
    </w:tbl>
    <w:p>
      <w:pPr>
        <w:spacing w:before="60" w:after="60"/>
        <w:pBdr>
          <w:bottom w:val="single" w:sz="8" w:space="1" w:color="C89B2A"/>
        </w:pBdr>
      </w:pPr>
    </w:p>
    <w:p>
      <w:pPr>
        <w:jc w:val="center"/>
      </w:pPr>
      <w:r>
        <w:rPr>
          <w:rFonts w:ascii="Times New Roman" w:hAnsi="Times New Roman"/>
          <w:b w:val="0"/>
          <w:i/>
          <w:color w:val="888888"/>
          <w:sz w:val="18"/>
          <w:u w:val="none"/>
        </w:rPr>
        <w:t>Mã tài liệu: 01/2026/PLHĐ-ERK/PMAI | Ngày xuất: 29 tháng 05 năm 2026 | Agent 04 – Eureka Logistics v3.0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