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54.png" ContentType="image/png"/>
  <Override PartName="/word/media/rId44.png" ContentType="image/png"/>
  <Override PartName="/word/media/rId48.png" ContentType="image/png"/>
  <Override PartName="/word/media/rId42.png" ContentType="image/png"/>
  <Override PartName="/word/media/rId50.png" ContentType="image/png"/>
  <Override PartName="/word/media/rId46.png" ContentType="image/png"/>
  <Override PartName="/word/media/rId52.png" ContentType="image/png"/>
  <Override PartName="/word/media/rId38.png" ContentType="image/png"/>
  <Override PartName="/word/media/rId32.png" ContentType="image/png"/>
  <Override PartName="/word/media/rId40.png" ContentType="image/png"/>
  <Override PartName="/word/media/rId26.jpg" ContentType="image/jpe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t xml:space="preserve">Flashing</w:t>
      </w:r>
      <w:r>
        <w:t xml:space="preserve"> </w:t>
      </w:r>
      <w:r>
        <w:t xml:space="preserve">Large</w:t>
      </w:r>
      <w:r>
        <w:t xml:space="preserve"> </w:t>
      </w:r>
      <w:r>
        <w:t xml:space="preserve">Mammals</w:t>
      </w:r>
      <w:r>
        <w:br w:type="textWrapping"/>
      </w:r>
      <w:r>
        <w:t xml:space="preserve">Quantifying</w:t>
      </w:r>
      <w:r>
        <w:t xml:space="preserve"> </w:t>
      </w:r>
      <w:r>
        <w:t xml:space="preserve">the</w:t>
      </w:r>
      <w:r>
        <w:t xml:space="preserve"> </w:t>
      </w:r>
      <w:r>
        <w:t xml:space="preserve">effect</w:t>
      </w:r>
      <w:r>
        <w:t xml:space="preserve"> </w:t>
      </w:r>
      <w:r>
        <w:t xml:space="preserve">of</w:t>
      </w:r>
      <w:r>
        <w:t xml:space="preserve"> </w:t>
      </w:r>
      <w:r>
        <w:t xml:space="preserve">white</w:t>
      </w:r>
      <w:r>
        <w:t xml:space="preserve"> </w:t>
      </w:r>
      <w:r>
        <w:t xml:space="preserve">LED</w:t>
      </w:r>
      <w:r>
        <w:t xml:space="preserve"> </w:t>
      </w:r>
      <w:r>
        <w:t xml:space="preserve">flash</w:t>
      </w:r>
      <w:r>
        <w:t xml:space="preserve"> </w:t>
      </w:r>
      <w:r>
        <w:t xml:space="preserve">on</w:t>
      </w:r>
      <w:r>
        <w:t xml:space="preserve"> </w:t>
      </w:r>
      <w:r>
        <w:t xml:space="preserve">camera</w:t>
      </w:r>
      <w:r>
        <w:t xml:space="preserve"> </w:t>
      </w:r>
      <w:r>
        <w:t xml:space="preserve">trapping</w:t>
      </w:r>
      <w:r>
        <w:t xml:space="preserve"> </w:t>
      </w:r>
      <w:r>
        <w:t xml:space="preserve">detection</w:t>
      </w:r>
      <w:r>
        <w:t xml:space="preserve"> </w:t>
      </w:r>
      <w:r>
        <w:t xml:space="preserve">rates</w:t>
      </w:r>
      <w:r>
        <w:br w:type="textWrapping"/>
      </w:r>
      <w:r>
        <w:t xml:space="preserve"> </w:t>
      </w:r>
      <w:r>
        <w:br w:type="textWrapping"/>
      </w:r>
      <w:r>
        <w:drawing>
          <wp:inline>
            <wp:extent cx="5334000" cy="632285"/>
            <wp:effectExtent b="0" l="0" r="0" t="0"/>
            <wp:docPr descr="" id="1" name="Picture"/>
            <a:graphic>
              <a:graphicData uri="http://schemas.openxmlformats.org/drawingml/2006/picture">
                <pic:pic>
                  <pic:nvPicPr>
                    <pic:cNvPr descr="img/MN_IMBV_A_ENG.png" id="0" name="Picture"/>
                    <pic:cNvPicPr>
                      <a:picLocks noChangeArrowheads="1" noChangeAspect="1"/>
                    </pic:cNvPicPr>
                  </pic:nvPicPr>
                  <pic:blipFill>
                    <a:blip r:embed="rId21"/>
                    <a:stretch>
                      <a:fillRect/>
                    </a:stretch>
                  </pic:blipFill>
                  <pic:spPr bwMode="auto">
                    <a:xfrm>
                      <a:off x="0" y="0"/>
                      <a:ext cx="5334000" cy="632285"/>
                    </a:xfrm>
                    <a:prstGeom prst="rect">
                      <a:avLst/>
                    </a:prstGeom>
                    <a:noFill/>
                    <a:ln w="9525">
                      <a:noFill/>
                      <a:headEnd/>
                      <a:tailEnd/>
                    </a:ln>
                  </pic:spPr>
                </pic:pic>
              </a:graphicData>
            </a:graphic>
          </wp:inline>
        </w:drawing>
      </w:r>
      <w:r>
        <w:t xml:space="preserve"> </w:t>
      </w:r>
      <w:r>
        <w:br w:type="textWrapping"/>
      </w:r>
    </w:p>
    <w:p>
      <w:pPr>
        <w:pStyle w:val="Author"/>
      </w:pPr>
      <w:r>
        <w:t xml:space="preserve">Torgeir</w:t>
      </w:r>
      <w:r>
        <w:t xml:space="preserve"> </w:t>
      </w:r>
      <w:r>
        <w:t xml:space="preserve">Holmgard</w:t>
      </w:r>
      <w:r>
        <w:t xml:space="preserve"> </w:t>
      </w:r>
      <w:r>
        <w:t xml:space="preserve">Valle</w:t>
      </w:r>
    </w:p>
    <w:p>
      <w:pPr>
        <w:pStyle w:val="Heading1"/>
      </w:pPr>
      <w:bookmarkStart w:id="22" w:name="method-and-materials"/>
      <w:bookmarkEnd w:id="22"/>
      <w:r>
        <w:t xml:space="preserve">Method and materials</w:t>
      </w:r>
    </w:p>
    <w:p>
      <w:pPr>
        <w:pStyle w:val="Heading2"/>
      </w:pPr>
      <w:bookmarkStart w:id="23" w:name="study-area"/>
      <w:bookmarkEnd w:id="23"/>
      <w:r>
        <w:t xml:space="preserve">Study area</w:t>
      </w:r>
    </w:p>
    <w:p>
      <w:pPr>
        <w:pStyle w:val="FirstParagraph"/>
      </w:pPr>
      <w:r>
        <w:t xml:space="preserve">The mean annual temperatures ranges from 2-6  and precipitation lies between 700-1500mm (</w:t>
      </w:r>
      <w:r>
        <w:t xml:space="preserve">).</w:t>
      </w:r>
      <w:r>
        <w:t xml:space="preserve"> </w:t>
      </w:r>
      <w:r>
        <w:t xml:space="preserve">Topography is predominantly flat towards the south, and more rugged and elevated towards the north. The landscape is a mosaic of forest and agricultural areas, divided with a wide network of gravel roads.</w:t>
      </w:r>
      <w:r>
        <w:t xml:space="preserve"> </w:t>
      </w:r>
      <w:r>
        <w:t xml:space="preserve">The area is situated in the southern boreal and the boreonemoral zones. Norway spruce (</w:t>
      </w:r>
      <w:r>
        <w:rPr>
          <w:i/>
        </w:rPr>
        <w:t xml:space="preserve">Picea abies</w:t>
      </w:r>
      <w:r>
        <w:t xml:space="preserve">) and Scots pine (</w:t>
      </w:r>
      <w:r>
        <w:rPr>
          <w:i/>
        </w:rPr>
        <w:t xml:space="preserve">Pinus sylvestris</w:t>
      </w:r>
      <w:r>
        <w:t xml:space="preserve">) make up the dominating boreal coniferous forests, with frequent presence of silver birch (</w:t>
      </w:r>
      <w:r>
        <w:rPr>
          <w:i/>
        </w:rPr>
        <w:t xml:space="preserve">Betula pendula</w:t>
      </w:r>
      <w:r>
        <w:t xml:space="preserve">) and downy birch (</w:t>
      </w:r>
      <w:r>
        <w:rPr>
          <w:i/>
        </w:rPr>
        <w:t xml:space="preserve">Betula pubescens</w:t>
      </w:r>
      <w:r>
        <w:t xml:space="preserve">), then aspen (</w:t>
      </w:r>
      <w:r>
        <w:rPr>
          <w:i/>
        </w:rPr>
        <w:t xml:space="preserve">Populous tremula</w:t>
      </w:r>
      <w:r>
        <w:t xml:space="preserve">), alder (</w:t>
      </w:r>
      <w:r>
        <w:rPr>
          <w:i/>
        </w:rPr>
        <w:t xml:space="preserve">Alnus incana</w:t>
      </w:r>
      <w:r>
        <w:t xml:space="preserve">) and black alder (</w:t>
      </w:r>
      <w:r>
        <w:rPr>
          <w:i/>
        </w:rPr>
        <w:t xml:space="preserve">Alnus glutinosa</w:t>
      </w:r>
      <w:r>
        <w:t xml:space="preserve">).</w:t>
      </w:r>
    </w:p>
    <w:p>
      <w:pPr>
        <w:pStyle w:val="BodyText"/>
      </w:pPr>
      <w:r>
        <w:t xml:space="preserve">The study area (59.36-60.45° N, 9.31-11.13° E) extends over much of the southeastern parts of Norway in municipalities Flå, Krødsherad, Sigdal, Ringerike, Modum, Hole, Lier, Øvre Eiker, Asker, Oslo, Enebakk, Indre Østfold, Våler, Råde, Moss, Frogn and Vestby in Oslo and Viken counties.</w:t>
      </w:r>
      <w:r>
        <w:t xml:space="preserve"> </w:t>
      </w:r>
      <w:r>
        <w:t xml:space="preserve">The climate has a continental character due to rain shadows of the mountain ridges from the west.</w:t>
      </w:r>
    </w:p>
    <w:p>
      <w:pPr>
        <w:pStyle w:val="BodyText"/>
      </w:pPr>
      <w:r>
        <w:t xml:space="preserve">Growing season length was 170 - 190 days (Moen 1999)</w:t>
      </w:r>
    </w:p>
    <w:p>
      <w:pPr>
        <w:pStyle w:val="Heading2"/>
      </w:pPr>
      <w:bookmarkStart w:id="24" w:name="study-species"/>
      <w:bookmarkEnd w:id="24"/>
      <w:r>
        <w:t xml:space="preserve">Study species</w:t>
      </w:r>
    </w:p>
    <w:p>
      <w:pPr>
        <w:pStyle w:val="FirstParagraph"/>
      </w:pPr>
      <w:r>
        <w:t xml:space="preserve">The species I’ll focus on in this thesis are the species that most frequently was observed</w:t>
      </w:r>
      <w:r>
        <w:t xml:space="preserve"> </w:t>
      </w:r>
      <w:r>
        <w:rPr>
          <w:i/>
        </w:rPr>
        <w:t xml:space="preserve">(&gt;50 events)</w:t>
      </w:r>
      <w:r>
        <w:t xml:space="preserve">, excluding farmed animals (e.g. cattle), humans and dogs, and grouped categories of animals (e.g. birds).</w:t>
      </w:r>
    </w:p>
    <w:p>
      <w:pPr>
        <w:pStyle w:val="BodyText"/>
      </w:pPr>
      <w:r>
        <w:t xml:space="preserve">The species I have included in my analyses are roe deer (</w:t>
      </w:r>
      <w:r>
        <w:rPr>
          <w:i/>
        </w:rPr>
        <w:t xml:space="preserve">Capreolus capreolus</w:t>
      </w:r>
      <w:r>
        <w:t xml:space="preserve">), red fox (</w:t>
      </w:r>
      <w:r>
        <w:rPr>
          <w:i/>
        </w:rPr>
        <w:t xml:space="preserve">Vulpes vulpes</w:t>
      </w:r>
      <w:r>
        <w:t xml:space="preserve">), badger (</w:t>
      </w:r>
      <w:r>
        <w:rPr>
          <w:i/>
        </w:rPr>
        <w:t xml:space="preserve">Meles meles</w:t>
      </w:r>
      <w:r>
        <w:t xml:space="preserve">), moose (</w:t>
      </w:r>
      <w:r>
        <w:rPr>
          <w:i/>
        </w:rPr>
        <w:t xml:space="preserve">Alces alces</w:t>
      </w:r>
      <w:r>
        <w:t xml:space="preserve">), red deer (</w:t>
      </w:r>
      <w:r>
        <w:rPr>
          <w:i/>
        </w:rPr>
        <w:t xml:space="preserve">Cervus elaphus</w:t>
      </w:r>
      <w:r>
        <w:t xml:space="preserve">), red squirrel (</w:t>
      </w:r>
      <w:r>
        <w:rPr>
          <w:i/>
        </w:rPr>
        <w:t xml:space="preserve">Sqiurus vulgaris</w:t>
      </w:r>
      <w:r>
        <w:t xml:space="preserve">), hare (</w:t>
      </w:r>
      <w:r>
        <w:rPr>
          <w:i/>
        </w:rPr>
        <w:t xml:space="preserve">Lepus timidus</w:t>
      </w:r>
      <w:r>
        <w:t xml:space="preserve">), European pine marten (</w:t>
      </w:r>
      <w:r>
        <w:rPr>
          <w:i/>
        </w:rPr>
        <w:t xml:space="preserve">Martes martes</w:t>
      </w:r>
      <w:r>
        <w:t xml:space="preserve">) and lynx.</w:t>
      </w:r>
    </w:p>
    <w:p>
      <w:pPr>
        <w:pStyle w:val="Heading2"/>
      </w:pPr>
      <w:bookmarkStart w:id="25" w:name="study-design"/>
      <w:bookmarkEnd w:id="25"/>
      <w:r>
        <w:t xml:space="preserve">Study design</w:t>
      </w:r>
    </w:p>
    <w:p>
      <w:pPr>
        <w:pStyle w:val="FirstParagraph"/>
      </w:pPr>
      <w:r>
        <w:t xml:space="preserve">The Norwegian Institute of Nature Research (NINA) started with CTs to substitute snow track surveys of lynx family groups, after several years of varying snow season length in south eastern Norway (</w:t>
      </w:r>
      <w:r>
        <w:t xml:space="preserve">). The surveys are integrated in a coordinated Scandinavian science project on lynx, called Scandlynx.</w:t>
      </w:r>
    </w:p>
    <w:p>
      <w:pPr>
        <w:pStyle w:val="BodyText"/>
      </w:pPr>
      <w:r>
        <w:t xml:space="preserve">I was given access to CTs used in the Scandlynx project, and chose the 60 sites closest to Oslo (for logistical reasons) which weren’t already equipped with white LED light.</w:t>
      </w:r>
      <w:r>
        <w:t xml:space="preserve"> </w:t>
      </w:r>
      <w:r>
        <w:t xml:space="preserve">Instead, these were equipped with either black or IR flash, but I will refer to them as the IR CTs.</w:t>
      </w:r>
    </w:p>
    <w:p>
      <w:pPr>
        <w:pStyle w:val="BodyText"/>
      </w:pPr>
      <w:r>
        <w:t xml:space="preserve">The IR CTs had been installed on trees 1-3 m from wildlife, human or tractor paths, 30-160 cm above ground level, and their distance from houses or roads varied to a large extent.</w:t>
      </w:r>
      <w:r>
        <w:t xml:space="preserve"> </w:t>
      </w:r>
      <w:r>
        <w:t xml:space="preserve">They were set up and handled by people from NINA and, at the sites further from Oslo, by local volunteers. The installation of the cameras did not follow a strict protocol, nor were their locations chosen randomly. The overall placement was systematic as decided by NINA, then there was a deliberately-biased placement of the CTs put up in areas where the individual handler deemed it most likely to photograph lynx, and hence, based on a combination of site accessibility and expectations of animal occurrence.</w:t>
      </w:r>
    </w:p>
    <w:p>
      <w:pPr>
        <w:pStyle w:val="FigureWithCaption"/>
      </w:pPr>
      <w:r>
        <w:drawing>
          <wp:inline>
            <wp:extent cx="5334000" cy="3000375"/>
            <wp:effectExtent b="0" l="0" r="0" t="0"/>
            <wp:docPr descr="" id="1" name="Picture"/>
            <a:graphic>
              <a:graphicData uri="http://schemas.openxmlformats.org/drawingml/2006/picture">
                <pic:pic>
                  <pic:nvPicPr>
                    <pic:cNvPr descr="./img/experiment_setup.jp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Experiment setup I chose 60 sites with preinstalled Infrared Camera Traps (IR CTs) for my study, and divided them into three groups, where the first group remained unchanged (control group), and the two other alternated on having additional white LED CTs present (treatment groups). Four sites were removed from the analysis due to large gaps in the data, etc.</w:t>
      </w:r>
    </w:p>
    <w:p>
      <w:pPr>
        <w:pStyle w:val="BodyText"/>
      </w:pPr>
      <w:r>
        <w:t xml:space="preserve">I divided the sites randomly into three groups of 20 sites. Cameras in the first group remained unchanged as a control.</w:t>
      </w:r>
      <w:r>
        <w:t xml:space="preserve"> </w:t>
      </w:r>
      <w:r>
        <w:t xml:space="preserve">The remaining two groups (hereby referred to as treatment groups) were equipped with an additional white LED camera (Reconyx PC850; hereby referred to as the LED CTs) in alternating 3 month-periods, as illustrated in figure.</w:t>
      </w:r>
    </w:p>
    <w:p>
      <w:pPr>
        <w:pStyle w:val="BodyText"/>
      </w:pPr>
      <w:r>
        <w:t xml:space="preserve">I set up all LED CTs above the IR CTs already in place (installation examples in figure [fig:cam_ex_main]).</w:t>
      </w:r>
      <w:r>
        <w:t xml:space="preserve"> </w:t>
      </w:r>
      <w:r>
        <w:t xml:space="preserve">At one site the IR camera had been installed so far above ground level that I chose to position the LED CT below the IR CT.</w:t>
      </w:r>
      <w:r>
        <w:t xml:space="preserve"> </w:t>
      </w:r>
      <w:r>
        <w:t xml:space="preserve">The camera boxes containing the LED CTs remained at each site untill the end of the experiment. Note that the second treatment group had no extra boxes before the start of their first LED period in May 2019 (i.e. remained identical to the control group untill May).</w:t>
      </w:r>
    </w:p>
    <w:p>
      <w:pPr>
        <w:pStyle w:val="BodyText"/>
      </w:pPr>
      <w:r>
        <w:t xml:space="preserve">I visited sites of the treatment groups at least once every three months in order to move the LED cameras.</w:t>
      </w:r>
      <w:r>
        <w:t xml:space="preserve"> </w:t>
      </w:r>
      <w:r>
        <w:t xml:space="preserve">For logistical reasons I visited sites of the control group less often.</w:t>
      </w:r>
      <w:r>
        <w:t xml:space="preserve"> </w:t>
      </w:r>
      <w:r>
        <w:t xml:space="preserve">However, as the cameras were part of other, ongoing projects, they were occasionally visited by workers from NINA to retreive the Secure Digital memory cards (hereby SD Cards) for data. This was mostly the case for sites close to, and south of, Oslo, or rather, the cameras not normally operated by members of the NJFF.</w:t>
      </w:r>
    </w:p>
    <w:p>
      <w:pPr>
        <w:pStyle w:val="BodyText"/>
      </w:pPr>
      <w:r>
        <w:t xml:space="preserve">When doing the analyses I needed periods of similar lengths to each other. Therefore, I divided the control group-cameras into four periods of similar lengths to that of the treatment group cameras (see figure [fig:timeseries]).</w:t>
      </w:r>
    </w:p>
    <w:p>
      <w:pPr>
        <w:pStyle w:val="Heading2"/>
      </w:pPr>
      <w:bookmarkStart w:id="27" w:name="data-collection"/>
      <w:bookmarkEnd w:id="27"/>
      <w:r>
        <w:t xml:space="preserve">Data Collection</w:t>
      </w:r>
    </w:p>
    <w:p>
      <w:pPr>
        <w:pStyle w:val="FirstParagraph"/>
      </w:pPr>
      <w:r>
        <w:t xml:space="preserve">Five different models of RECONYX™ (address: 3828 Creekside Ln, Ste 2, Holmen, WI 54636, USA, www.reconyx.com) cameras were used,</w:t>
      </w:r>
      <w:r>
        <w:t xml:space="preserve"> </w:t>
      </w:r>
      <w:r>
        <w:t xml:space="preserve">and one model of BROWNING™ (address: One Browning Place, Morgan, UT 84050, USA, www.browningtrailcameras.com), details in table [tab:cam_mod].</w:t>
      </w:r>
    </w:p>
    <w:p>
      <w:pPr>
        <w:pStyle w:val="BodyText"/>
      </w:pPr>
      <w:r>
        <w:t xml:space="preserve">Reconyx-cameras have been reported of having an average trigger speed of 0.2 seconds, whereas the Browning model was reported an average of 0.7 seconds (Trigger speed shootout,</w:t>
      </w:r>
      <w:r>
        <w:t xml:space="preserve"> </w:t>
      </w:r>
      <w:r>
        <w:t xml:space="preserve">).</w:t>
      </w:r>
    </w:p>
    <w:p>
      <w:pPr>
        <w:pStyle w:val="BodyText"/>
      </w:pPr>
      <w:r>
        <w:t xml:space="preserve">Cameras were operating 24 hours per day. The RECONYX™ cameras were set to take one time lapse photo per day in order to verify that the cameras had been operational.</w:t>
      </w:r>
      <w:r>
        <w:t xml:space="preserve"> </w:t>
      </w:r>
      <w:r>
        <w:t xml:space="preserve">They were set to take 3 pictures per series, as fast as possible using</w:t>
      </w:r>
      <w:r>
        <w:t xml:space="preserve"> </w:t>
      </w:r>
      <w:r>
        <w:rPr>
          <w:i/>
        </w:rPr>
        <w:t xml:space="preserve">rapidfire</w:t>
      </w:r>
      <w:r>
        <w:t xml:space="preserve">, and retrigger immediately using</w:t>
      </w:r>
      <w:r>
        <w:t xml:space="preserve"> </w:t>
      </w:r>
      <w:r>
        <w:rPr>
          <w:i/>
        </w:rPr>
        <w:t xml:space="preserve">no delay</w:t>
      </w:r>
      <w:r>
        <w:t xml:space="preserve">.</w:t>
      </w:r>
    </w:p>
    <w:p>
      <w:pPr>
        <w:pStyle w:val="BodyText"/>
      </w:pPr>
      <w:r>
        <w:t xml:space="preserve">The BROWNING™ cameras were also set to rapidfire, but to 8 photos per trigger, which made the memory cards more vulnerable to filling up before being collected. This happened in some areas with sheep and/or cattle, and sometimes due to triggering by vegetation.</w:t>
      </w:r>
    </w:p>
    <w:p>
      <w:pPr>
        <w:pStyle w:val="BodyText"/>
      </w:pPr>
      <w:r>
        <w:t xml:space="preserve">Therefore, the BROWNING™ cameras tended to have more gaps of inoperable days.</w:t>
      </w:r>
      <w:r>
        <w:t xml:space="preserve"> </w:t>
      </w:r>
      <w:r>
        <w:t xml:space="preserve">The true number of active camera days are confounded by the lack of time lapse photos from the BROWNING™ cameras. To approach the true number of active days, I assumed all Browning cameras to be functional every day, unless the camera was inactive when I visited it. In that case, I considered the camera inactive since the day of its last photo.</w:t>
      </w:r>
    </w:p>
    <w:p>
      <w:pPr>
        <w:pStyle w:val="BodyText"/>
      </w:pPr>
      <w:r>
        <w:t xml:space="preserve">As seen in figure [fig:map], there was a correlation between latitude and camera type.</w:t>
      </w:r>
    </w:p>
    <w:p>
      <w:pPr>
        <w:pStyle w:val="BodyText"/>
      </w:pPr>
      <w:r>
        <w:t xml:space="preserve">[fig:map]</w:t>
      </w:r>
    </w:p>
    <w:p>
      <w:pPr>
        <w:pStyle w:val="Heading2"/>
      </w:pPr>
      <w:bookmarkStart w:id="28" w:name="data-processing"/>
      <w:bookmarkEnd w:id="28"/>
      <w:r>
        <w:t xml:space="preserve">Data processing</w:t>
      </w:r>
    </w:p>
    <w:p>
      <w:pPr>
        <w:pStyle w:val="FirstParagraph"/>
      </w:pPr>
      <w:r>
        <w:t xml:space="preserve">All SD cards were delivered to NINA for data processing.</w:t>
      </w:r>
      <w:r>
        <w:t xml:space="preserve"> </w:t>
      </w:r>
      <w:r>
        <w:t xml:space="preserve">Firstly, a facial recognition algorithm (FRA) is used to sort all the pictures. Afterwards, a human sorter checks the softwares’ output, confirming all the correct decisions (i.e. species detections) and correcting all the wrong ones.</w:t>
      </w:r>
      <w:r>
        <w:t xml:space="preserve"> </w:t>
      </w:r>
      <w:r>
        <w:t xml:space="preserve">Consequently, the rate of correctly identified species has gone up as the FRA sometimes detect animals that aren’t easily noticed by human sorters (pers.comm. John Odden).</w:t>
      </w:r>
      <w:r>
        <w:t xml:space="preserve"> </w:t>
      </w:r>
      <w:r>
        <w:t xml:space="preserve">The goal is to fully automate this identification process, which is a request from The Norwegian Data Protection Authority (DPA) in relation to usage of cameras in densely crowded areas (e.g. parks).</w:t>
      </w:r>
    </w:p>
    <w:p>
      <w:pPr>
        <w:pStyle w:val="BodyText"/>
      </w:pPr>
      <w:r>
        <w:t xml:space="preserve">The output I got as a result was a data frame containing a time stamp for every time the CTs were triggered, including all meta data from the camera, coupled with predicted species (FRA output, with a confidence number), verified species (by human sorters), number of animals and distance from camera.</w:t>
      </w:r>
    </w:p>
    <w:p>
      <w:pPr>
        <w:pStyle w:val="BodyText"/>
      </w:pPr>
      <w:r>
        <w:t xml:space="preserve">I defined one event as any one species passing with a buffer of 30 minutes untill next detection of the same species, in order to remove autocorrelation in observations, e.g from ruminating individuals.</w:t>
      </w:r>
      <w:r>
        <w:t xml:space="preserve"> </w:t>
      </w:r>
      <w:r>
        <w:t xml:space="preserve">Number of individuals and distance to CT were not taken into account.</w:t>
      </w:r>
    </w:p>
    <w:p>
      <w:pPr>
        <w:pStyle w:val="BodyText"/>
      </w:pPr>
      <w:r>
        <w:t xml:space="preserve">My predictor variable of interest was a three level factor, where LED represented the periods with an additional white LED CT present, IR represented the periods</w:t>
      </w:r>
      <w:r>
        <w:t xml:space="preserve"> </w:t>
      </w:r>
      <w:r>
        <w:rPr>
          <w:i/>
        </w:rPr>
        <w:t xml:space="preserve">after</w:t>
      </w:r>
      <w:r>
        <w:t xml:space="preserve"> </w:t>
      </w:r>
      <w:r>
        <w:t xml:space="preserve">a white LED CT had been present, and Control represented all periods where a white LED CT had never been present. The different periods are visualised in figure [fig:timeseries].</w:t>
      </w:r>
    </w:p>
    <w:p>
      <w:pPr>
        <w:pStyle w:val="BodyText"/>
      </w:pPr>
      <w:r>
        <w:t xml:space="preserve">4 sites were removed before the analysis due to technical faults, etc. 1 CT from the control group, as it turned out to be a white LED camera.3 CTs from the treatment groups, because of large or frequent gaps due to technical errors, and ineffective placement of the additional white LED camera.</w:t>
      </w:r>
    </w:p>
    <w:p>
      <w:pPr>
        <w:pStyle w:val="FigureWithCaption"/>
      </w:pPr>
      <w:r>
        <w:drawing>
          <wp:inline>
            <wp:extent cx="5334000" cy="3809999"/>
            <wp:effectExtent b="0" l="0" r="0" t="0"/>
            <wp:docPr descr="" id="1" name="Picture"/>
            <a:graphic>
              <a:graphicData uri="http://schemas.openxmlformats.org/drawingml/2006/picture">
                <pic:pic>
                  <pic:nvPicPr>
                    <pic:cNvPr descr="../R/FLM_notebook_files/figure-gfm/effort-facet-1.png" id="0" name="Picture"/>
                    <pic:cNvPicPr>
                      <a:picLocks noChangeArrowheads="1" noChangeAspect="1"/>
                    </pic:cNvPicPr>
                  </pic:nvPicPr>
                  <pic:blipFill>
                    <a:blip r:embed="rId2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Active camera days Colours indicate the different periods for each camera. White spaces indicate gaps where the IR CTs were inactive. Control camera periods were defined in similar lengths to that of the treatment group during analysis. As a result,</w:t>
      </w:r>
      <w:r>
        <w:t xml:space="preserve"> </w:t>
      </w:r>
      <w:r>
        <w:t xml:space="preserve">“</w:t>
      </w:r>
      <w:r>
        <w:t xml:space="preserve">day 0</w:t>
      </w:r>
      <w:r>
        <w:t xml:space="preserve">”</w:t>
      </w:r>
      <w:r>
        <w:t xml:space="preserve"> </w:t>
      </w:r>
      <w:r>
        <w:t xml:space="preserve">of Control-cameras are often set at dates far from an actual visitation day. Shaded areas represent my field work periods. [fig:timeseries]</w:t>
      </w:r>
    </w:p>
    <w:p>
      <w:pPr>
        <w:pStyle w:val="Heading2"/>
      </w:pPr>
      <w:bookmarkStart w:id="30" w:name="statistical-analysis"/>
      <w:bookmarkEnd w:id="30"/>
      <w:r>
        <w:t xml:space="preserve">Statistical analysis</w:t>
      </w:r>
    </w:p>
    <w:p>
      <w:pPr>
        <w:pStyle w:val="FirstParagraph"/>
      </w:pPr>
      <w:r>
        <w:t xml:space="preserve">To test for effects of the white LED flash I used the R programming language (</w:t>
      </w:r>
      <w:r>
        <w:t xml:space="preserve">), in the RStudio IDE (</w:t>
      </w:r>
      <w:r>
        <w:t xml:space="preserve">), adopting large parts of the tidyverse (</w:t>
      </w:r>
      <w:r>
        <w:t xml:space="preserve">) and the easystats (</w:t>
      </w:r>
      <w:r>
        <w:t xml:space="preserve">) frameworks along the way. Complete citation of R packages used are presented in appendix [app:sessinfo].</w:t>
      </w:r>
    </w:p>
    <w:p>
      <w:pPr>
        <w:pStyle w:val="Heading3"/>
      </w:pPr>
      <w:bookmarkStart w:id="31" w:name="glmm"/>
      <w:bookmarkEnd w:id="31"/>
      <w:r>
        <w:t xml:space="preserve">GLMM</w:t>
      </w:r>
    </w:p>
    <w:p>
      <w:pPr>
        <w:pStyle w:val="FirstParagraph"/>
      </w:pPr>
      <w:r>
        <w:t xml:space="preserve">To test H1 I looked for differences in detection rate per day, using Generalised Linear Mixed Models (GLMM) with the glmer function from the R package lme4 (</w:t>
      </w:r>
      <w:r>
        <w:t xml:space="preserve">).</w:t>
      </w:r>
      <w:r>
        <w:t xml:space="preserve"> </w:t>
      </w:r>
      <w:r>
        <w:t xml:space="preserve">I fitted separate models for each species to avoid overly complicated models.</w:t>
      </w:r>
      <w:r>
        <w:t xml:space="preserve"> </w:t>
      </w:r>
      <w:r>
        <w:t xml:space="preserve">The dependent variable was count data (number of observations), and I therefore assumed the error term followed a Poisson distribution (</w:t>
      </w:r>
      <m:oMath>
        <m:r>
          <m:rPr/>
          <m:t>X</m:t>
        </m:r>
        <m:r>
          <m:rPr/>
          <m:t>∼</m:t>
        </m:r>
        <m:r>
          <m:rPr/>
          <m:t>P</m:t>
        </m:r>
        <m:r>
          <m:rPr/>
          <m:t>o</m:t>
        </m:r>
        <m:r>
          <m:rPr/>
          <m:t>i</m:t>
        </m:r>
        <m:r>
          <m:rPr/>
          <m:t>s</m:t>
        </m:r>
        <m:r>
          <m:rPr/>
          <m:t>(</m:t>
        </m:r>
        <m:r>
          <m:rPr/>
          <m:t>λ</m:t>
        </m:r>
        <m:r>
          <m:rPr/>
          <m:t>)</m:t>
        </m:r>
      </m:oMath>
      <w:r>
        <w:t xml:space="preserve">).</w:t>
      </w:r>
    </w:p>
    <w:p>
      <w:pPr>
        <w:pStyle w:val="BodyText"/>
      </w:pPr>
      <w:r>
        <w:t xml:space="preserve">I included location ID and week of the year as random effects to account for consistent differences between camera sites and seasonal changes during the year of study.</w:t>
      </w:r>
      <w:r>
        <w:t xml:space="preserve"> </w:t>
      </w:r>
      <w:r>
        <w:t xml:space="preserve">95% Confidence Intervals (CIs) and p-values were computed using the Wald approximation.</w:t>
      </w:r>
      <w:r>
        <w:t xml:space="preserve"> </w:t>
      </w:r>
      <w:r>
        <w:t xml:space="preserve">I used standardized parameters (mean = 0, SD = 1) to enable comparison of effect sizes.</w:t>
      </w:r>
    </w:p>
    <w:p>
      <w:pPr>
        <w:pStyle w:val="BodyText"/>
      </w:pPr>
      <w:r>
        <w:t xml:space="preserve">The main term of interest was time since deployment in days interacting with flash type (formula: n.obs</w:t>
      </w:r>
      <w:r>
        <w:t xml:space="preserve"> </w:t>
      </w:r>
      <m:oMath>
        <m:r>
          <m:rPr/>
          <m:t>∼</m:t>
        </m:r>
      </m:oMath>
      <w:r>
        <w:t xml:space="preserve"> </w:t>
      </w:r>
      <w:r>
        <w:t xml:space="preserve">time.deploy</w:t>
      </w:r>
      <w:r>
        <w:t xml:space="preserve"> </w:t>
      </w:r>
      <m:oMath>
        <m:r>
          <m:rPr/>
          <m:t>*</m:t>
        </m:r>
      </m:oMath>
      <w:r>
        <w:t xml:space="preserve"> </w:t>
      </w:r>
      <w:r>
        <w:t xml:space="preserve">flash).</w:t>
      </w:r>
      <w:r>
        <w:t xml:space="preserve"> </w:t>
      </w:r>
      <w:r>
        <w:t xml:space="preserve">The flash type-variable corresponds to white LED present/absent or control group.</w:t>
      </w:r>
      <w:r>
        <w:t xml:space="preserve"> </w:t>
      </w:r>
      <w:r>
        <w:t xml:space="preserve">For the sites that were equipped with an additional white LED camera, time since deployment starts from the day I visited the camera, and set up/ took down the white LED.</w:t>
      </w:r>
      <w:r>
        <w:t xml:space="preserve"> </w:t>
      </w:r>
      <w:r>
        <w:t xml:space="preserve">The control group’s</w:t>
      </w:r>
      <w:r>
        <w:t xml:space="preserve"> </w:t>
      </w:r>
      <w:r>
        <w:t xml:space="preserve">“</w:t>
      </w:r>
      <w:r>
        <w:t xml:space="preserve">day 0</w:t>
      </w:r>
      <w:r>
        <w:t xml:space="preserve">”</w:t>
      </w:r>
      <w:r>
        <w:t xml:space="preserve"> </w:t>
      </w:r>
      <w:r>
        <w:t xml:space="preserve">of time since deployment were set at points reflecting the onset of field work each time, in order to obtain periods of similar lengths to that of the white LED-locations.</w:t>
      </w:r>
    </w:p>
    <w:p>
      <w:pPr>
        <w:pStyle w:val="BodyText"/>
      </w:pPr>
      <w:r>
        <w:t xml:space="preserve">I trimmed the period lengths down to a reduced length, based on the median length of the IR and white LED periods, to enhance meaningful comparison.</w:t>
      </w:r>
      <w:r>
        <w:t xml:space="preserve"> </w:t>
      </w:r>
      <w:r>
        <w:t xml:space="preserve">Thus, any period exceeding the shortest median length, was trimmed down, as visualized in figure [fig:median_period].</w:t>
      </w:r>
      <w:r>
        <w:t xml:space="preserve"> </w:t>
      </w:r>
      <w:r>
        <w:t xml:space="preserve">Finally, due to large eigenvalues in the fixed effects, the model failed to converge, and an error message prompted me to rescale variables.</w:t>
      </w:r>
      <w:r>
        <w:t xml:space="preserve"> </w:t>
      </w:r>
      <w:r>
        <w:t xml:space="preserve">Therefore I divided the time since deployment-variable by ten, which solved the error. Consequently, the time axis is shown in days/10, which means that 7.5 corresponds to 75 days.</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period-length-wControl-1.png" id="0" name="Picture"/>
                    <pic:cNvPicPr>
                      <a:picLocks noChangeArrowheads="1" noChangeAspect="1"/>
                    </pic:cNvPicPr>
                  </pic:nvPicPr>
                  <pic:blipFill>
                    <a:blip r:embed="rId3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Period lengths Vertical line represents the median IR period length, which was shorter than the median of the other groups. Data superceding the median were trimmed away for the GLMM. [fig:median_period]</w:t>
      </w:r>
    </w:p>
    <w:p>
      <w:pPr>
        <w:pStyle w:val="Heading3"/>
      </w:pPr>
      <w:bookmarkStart w:id="33" w:name="equivalence-test"/>
      <w:bookmarkEnd w:id="33"/>
      <w:r>
        <w:t xml:space="preserve">Equivalence test</w:t>
      </w:r>
    </w:p>
    <w:p>
      <w:pPr>
        <w:pStyle w:val="FirstParagraph"/>
      </w:pPr>
      <w:r>
        <w:t xml:space="preserve">I used the standard significance level of</w:t>
      </w:r>
      <w:r>
        <w:t xml:space="preserve"> </w:t>
      </w:r>
      <m:oMath>
        <m:r>
          <m:rPr/>
          <m:t>α</m:t>
        </m:r>
        <m:r>
          <m:rPr/>
          <m:t>=</m:t>
        </m:r>
        <m:r>
          <m:rPr/>
          <m:t>.05</m:t>
        </m:r>
      </m:oMath>
      <w:r>
        <w:t xml:space="preserve">, and performed an equivalence test on my model outputs, using the function equivalence_test from the R package parameters ().</w:t>
      </w:r>
      <w:r>
        <w:t xml:space="preserve"> </w:t>
      </w:r>
      <w:r>
        <w:t xml:space="preserve">In an equivalence test, model parameters are tested against a Region of Practical Equivalence (ROPE) as opposed to merely one single mean value, thus accounting for the</w:t>
      </w:r>
      <w:r>
        <w:t xml:space="preserve"> </w:t>
      </w:r>
      <w:r>
        <w:rPr>
          <w:i/>
        </w:rPr>
        <w:t xml:space="preserve">effect size</w:t>
      </w:r>
      <w:r>
        <w:t xml:space="preserve"> </w:t>
      </w:r>
      <w:r>
        <w:t xml:space="preserve">of each parameter.</w:t>
      </w:r>
      <w:r>
        <w:t xml:space="preserve"> </w:t>
      </w:r>
      <w:r>
        <w:t xml:space="preserve">If the parameters estimate and CI falls outside the ROPE, their null hypothesis is rejected. However, if the CI is inside the ROPE, H0 is accepted, no matter if a standard Null Hypothesis Significance Test (NHST) would have deemed it significant.</w:t>
      </w:r>
    </w:p>
    <w:p>
      <w:pPr>
        <w:pStyle w:val="BodyText"/>
      </w:pPr>
      <w:r>
        <w:t xml:space="preserve">Inside the function equivalence-test I used the Two One-Sided Tests (TOST) rule, where the confidence interval (CI) is set to</w:t>
      </w:r>
      <w:r>
        <w:t xml:space="preserve"> </w:t>
      </w:r>
      <m:oMath>
        <m:r>
          <m:rPr/>
          <m:t>1</m:t>
        </m:r>
        <m:r>
          <m:rPr/>
          <m:t>−</m:t>
        </m:r>
        <m:r>
          <m:rPr/>
          <m:t>2</m:t>
        </m:r>
        <m:r>
          <m:rPr/>
          <m:t>×</m:t>
        </m:r>
        <m:r>
          <m:rPr/>
          <m:t>α</m:t>
        </m:r>
      </m:oMath>
      <w:r>
        <w:t xml:space="preserve">. In my case that gave a narrow CI of 0.90.</w:t>
      </w:r>
    </w:p>
    <w:p>
      <w:pPr>
        <w:pStyle w:val="BodyText"/>
      </w:pPr>
      <w:r>
        <w:t xml:space="preserve">For models from count data, the residual variance is often used to define the ROPE range. However, the description of the rope_range function from the package bayestestR () states this threshold as</w:t>
      </w:r>
      <w:r>
        <w:t xml:space="preserve"> </w:t>
      </w:r>
      <w:r>
        <w:t xml:space="preserve">“</w:t>
      </w:r>
      <w:r>
        <w:t xml:space="preserve">rather experimental</w:t>
      </w:r>
      <w:r>
        <w:t xml:space="preserve">”</w:t>
      </w:r>
      <w:r>
        <w:t xml:space="preserve"> </w:t>
      </w:r>
      <w:r>
        <w:t xml:space="preserve">and that the range is probably often similar to the default [-0.1, 0.1] of a standardized parameter (</w:t>
      </w:r>
      <m:oMath>
        <m:r>
          <m:rPr/>
          <m:t>h</m:t>
        </m:r>
        <m:r>
          <m:rPr/>
          <m:t>t</m:t>
        </m:r>
        <m:r>
          <m:rPr/>
          <m:t>t</m:t>
        </m:r>
        <m:r>
          <m:rPr/>
          <m:t>p</m:t>
        </m:r>
        <m:r>
          <m:rPr/>
          <m:t>s</m:t>
        </m:r>
        <m:r>
          <m:rPr/>
          <m:t>:</m:t>
        </m:r>
        <m:r>
          <m:rPr/>
          <m:t>/</m:t>
        </m:r>
        <m:r>
          <m:rPr/>
          <m:t>/</m:t>
        </m:r>
        <m:r>
          <m:rPr/>
          <m:t>e</m:t>
        </m:r>
        <m:r>
          <m:rPr/>
          <m:t>a</m:t>
        </m:r>
        <m:r>
          <m:rPr/>
          <m:t>s</m:t>
        </m:r>
        <m:r>
          <m:rPr/>
          <m:t>y</m:t>
        </m:r>
        <m:r>
          <m:rPr/>
          <m:t>s</m:t>
        </m:r>
        <m:r>
          <m:rPr/>
          <m:t>t</m:t>
        </m:r>
        <m:r>
          <m:rPr/>
          <m:t>a</m:t>
        </m:r>
        <m:r>
          <m:rPr/>
          <m:t>t</m:t>
        </m:r>
        <m:r>
          <m:rPr/>
          <m:t>s</m:t>
        </m:r>
        <m:r>
          <m:rPr/>
          <m:t>.</m:t>
        </m:r>
        <m:r>
          <m:rPr/>
          <m:t>g</m:t>
        </m:r>
        <m:r>
          <m:rPr/>
          <m:t>i</m:t>
        </m:r>
        <m:r>
          <m:rPr/>
          <m:t>t</m:t>
        </m:r>
        <m:r>
          <m:rPr/>
          <m:t>h</m:t>
        </m:r>
        <m:r>
          <m:rPr/>
          <m:t>u</m:t>
        </m:r>
        <m:r>
          <m:rPr/>
          <m:t>b</m:t>
        </m:r>
        <m:r>
          <m:rPr/>
          <m:t>.</m:t>
        </m:r>
        <m:r>
          <m:rPr/>
          <m:t>i</m:t>
        </m:r>
        <m:r>
          <m:rPr/>
          <m:t>o</m:t>
        </m:r>
        <m:r>
          <m:rPr/>
          <m:t>/</m:t>
        </m:r>
        <m:r>
          <m:rPr/>
          <m:t>b</m:t>
        </m:r>
        <m:r>
          <m:rPr/>
          <m:t>a</m:t>
        </m:r>
        <m:r>
          <m:rPr/>
          <m:t>y</m:t>
        </m:r>
        <m:r>
          <m:rPr/>
          <m:t>e</m:t>
        </m:r>
        <m:r>
          <m:rPr/>
          <m:t>s</m:t>
        </m:r>
        <m:r>
          <m:rPr/>
          <m:t>t</m:t>
        </m:r>
        <m:r>
          <m:rPr/>
          <m:t>e</m:t>
        </m:r>
        <m:r>
          <m:rPr/>
          <m:t>s</m:t>
        </m:r>
        <m:r>
          <m:rPr/>
          <m:t>t</m:t>
        </m:r>
        <m:r>
          <m:rPr/>
          <m:t>R</m:t>
        </m:r>
        <m:r>
          <m:rPr/>
          <m:t>/</m:t>
        </m:r>
        <m:r>
          <m:rPr/>
          <m:t>r</m:t>
        </m:r>
        <m:r>
          <m:rPr/>
          <m:t>e</m:t>
        </m:r>
        <m:r>
          <m:rPr/>
          <m:t>f</m:t>
        </m:r>
        <m:r>
          <m:rPr/>
          <m:t>e</m:t>
        </m:r>
        <m:r>
          <m:rPr/>
          <m:t>r</m:t>
        </m:r>
        <m:r>
          <m:rPr/>
          <m:t>e</m:t>
        </m:r>
        <m:r>
          <m:rPr/>
          <m:t>n</m:t>
        </m:r>
        <m:r>
          <m:rPr/>
          <m:t>c</m:t>
        </m:r>
        <m:r>
          <m:rPr/>
          <m:t>e</m:t>
        </m:r>
        <m:r>
          <m:rPr/>
          <m:t>/</m:t>
        </m:r>
        <m:r>
          <m:rPr/>
          <m:t>r</m:t>
        </m:r>
        <m:r>
          <m:rPr/>
          <m:t>o</m:t>
        </m:r>
        <m:r>
          <m:rPr/>
          <m:t>p</m:t>
        </m:r>
        <m:sSub>
          <m:e>
            <m:r>
              <m:rPr/>
              <m:t>e</m:t>
            </m:r>
          </m:e>
          <m:sub>
            <m:r>
              <m:rPr/>
              <m:t>r</m:t>
            </m:r>
          </m:sub>
        </m:sSub>
        <m:r>
          <m:rPr/>
          <m:t>a</m:t>
        </m:r>
        <m:r>
          <m:rPr/>
          <m:t>n</m:t>
        </m:r>
        <m:r>
          <m:rPr/>
          <m:t>g</m:t>
        </m:r>
        <m:r>
          <m:rPr/>
          <m:t>e</m:t>
        </m:r>
        <m:r>
          <m:rPr/>
          <m:t>.</m:t>
        </m:r>
        <m:r>
          <m:rPr/>
          <m:t>h</m:t>
        </m:r>
        <m:r>
          <m:rPr/>
          <m:t>t</m:t>
        </m:r>
        <m:r>
          <m:rPr/>
          <m:t>m</m:t>
        </m:r>
        <m:r>
          <m:rPr/>
          <m:t>l</m:t>
        </m:r>
      </m:oMath>
      <w:r>
        <w:t xml:space="preserve">, accessed 11.3.2021). Hence, I used the default ROPE range which corresponds to a negligible effect size according to Cohen, 1988.</w:t>
      </w:r>
    </w:p>
    <w:p>
      <w:pPr>
        <w:pStyle w:val="Heading1"/>
      </w:pPr>
      <w:bookmarkStart w:id="34" w:name="results"/>
      <w:bookmarkEnd w:id="34"/>
      <w:r>
        <w:t xml:space="preserve">Results</w:t>
      </w:r>
    </w:p>
    <w:p>
      <w:pPr>
        <w:pStyle w:val="Heading2"/>
      </w:pPr>
      <w:bookmarkStart w:id="35" w:name="glmm-1"/>
      <w:bookmarkEnd w:id="35"/>
      <w:r>
        <w:t xml:space="preserve">GLMM</w:t>
      </w:r>
    </w:p>
    <w:p>
      <w:pPr>
        <w:pStyle w:val="Heading3"/>
      </w:pPr>
      <w:bookmarkStart w:id="36" w:name="all-species"/>
      <w:bookmarkEnd w:id="36"/>
      <w:r>
        <w:t xml:space="preserve">All species</w:t>
      </w:r>
    </w:p>
    <w:p>
      <w:pPr>
        <w:pStyle w:val="FirstParagraph"/>
      </w:pPr>
      <w:r>
        <w:t xml:space="preserve">As the control-group (Intercept in table [tab:param]) stayed unchanged through the whole study period, and was visited less than the other cameras, I expected there to be no trend over time (i.e. time.deploy</w:t>
      </w:r>
      <w:r>
        <w:t xml:space="preserve"> </w:t>
      </w:r>
      <m:oMath>
        <m:r>
          <m:rPr/>
          <m:t>≈</m:t>
        </m:r>
        <m:r>
          <m:rPr/>
          <m:t>0</m:t>
        </m:r>
      </m:oMath>
      <w:r>
        <w:t xml:space="preserve"> </w:t>
      </w:r>
      <w:r>
        <w:t xml:space="preserve">in table [tab:param]).</w:t>
      </w:r>
      <w:r>
        <w:t xml:space="preserve"> </w:t>
      </w:r>
      <w:r>
        <w:t xml:space="preserve">Any fluctuations in detection rates due to weekly (and ultimately seasonal) changes should be controlled for by the random effect-term for week of the year, leaving the control group as a representation of the baseline detection rate.</w:t>
      </w:r>
      <w:r>
        <w:t xml:space="preserve"> </w:t>
      </w:r>
      <w:r>
        <w:t xml:space="preserve">This held true for all the species in my analysis.</w:t>
      </w:r>
    </w:p>
    <w:p>
      <w:pPr>
        <w:pStyle w:val="BodyText"/>
      </w:pPr>
      <w:r>
        <w:t xml:space="preserve">In general, the control-group had lower detection rates than the two treatment groups for all species (see table [tab:param]).</w:t>
      </w:r>
      <w:r>
        <w:t xml:space="preserve"> </w:t>
      </w:r>
      <w:r>
        <w:t xml:space="preserve">However, for most species, the slopes of IR and LED are completely covered by the Control-group’s confidence interval (CI), meaning that the differences are non-significant.</w:t>
      </w:r>
    </w:p>
    <w:p>
      <w:pPr>
        <w:pStyle w:val="BodyText"/>
      </w:pPr>
      <w:r>
        <w:t xml:space="preserve">If there were any effect of the LED, the IR period should show a regression to the norm, ie. counteracting the effect of the LED.</w:t>
      </w:r>
      <w:r>
        <w:t xml:space="preserve"> </w:t>
      </w:r>
      <w:r>
        <w:t xml:space="preserve">Thus, if the LED had a negative slope along the time axis, the IR should have a positive slope.</w:t>
      </w:r>
      <w:r>
        <w:t xml:space="preserve"> </w:t>
      </w:r>
      <w:r>
        <w:t xml:space="preserve">Further, their respective main effects (ie. when time since deployment = 0) should correspond somewhat to the other factor’s simple effect of when time since deployment is at maximum value (84 days).</w:t>
      </w:r>
      <w:r>
        <w:t xml:space="preserve"> </w:t>
      </w:r>
      <w:r>
        <w:t xml:space="preserve">Still, as time since deployment = 0 corresponds to the day of my visitation, my presence could skew that pattern to some extent.</w:t>
      </w:r>
    </w:p>
    <w:p>
      <w:pPr>
        <w:pStyle w:val="BodyText"/>
      </w:pPr>
      <w:r>
        <w:t xml:space="preserve">The main effect of LED was positive for most species, although none responded significantly (table [tab:param]).</w:t>
      </w:r>
    </w:p>
    <w:p>
      <w:pPr>
        <w:pStyle w:val="Heading3"/>
      </w:pPr>
      <w:bookmarkStart w:id="37" w:name="roe-deer"/>
      <w:bookmarkEnd w:id="37"/>
      <w:r>
        <w:t xml:space="preserve">Roe deer</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parameters-1.png" id="0" name="Picture"/>
                    <pic:cNvPicPr>
                      <a:picLocks noChangeArrowheads="1" noChangeAspect="1"/>
                    </pic:cNvPicPr>
                  </pic:nvPicPr>
                  <pic:blipFill>
                    <a:blip r:embed="rId3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Roe deer a) The predicted detection rate of roe deer for each level of the flash-variable. Confidence intervals (CI) represented by dotted lines.</w:t>
      </w:r>
      <w:r>
        <w:br w:type="textWrapping"/>
      </w:r>
      <w:r>
        <w:t xml:space="preserve">b) Model parameters presented in an equivalence test. ROPE is set to</w:t>
      </w:r>
      <w:r>
        <w:t xml:space="preserve"> </w:t>
      </w:r>
      <m:oMath>
        <m:r>
          <m:rPr/>
          <m:t>±</m:t>
        </m:r>
      </m:oMath>
      <w:r>
        <w:t xml:space="preserve">0.1 Log-Mean,</w:t>
      </w:r>
      <w:r>
        <w:t xml:space="preserve"> </w:t>
      </w:r>
      <m:oMath>
        <m:r>
          <m:rPr/>
          <m:t>C</m:t>
        </m:r>
        <m:r>
          <m:rPr/>
          <m:t>I</m:t>
        </m:r>
        <m:r>
          <m:rPr/>
          <m:t>=</m:t>
        </m:r>
        <m:r>
          <m:rPr/>
          <m:t>1</m:t>
        </m:r>
        <m:r>
          <m:rPr/>
          <m:t>−</m:t>
        </m:r>
        <m:r>
          <m:rPr/>
          <m:t>2</m:t>
        </m:r>
        <m:r>
          <m:rPr/>
          <m:t>×</m:t>
        </m:r>
        <m:r>
          <m:rPr/>
          <m:t>α</m:t>
        </m:r>
      </m:oMath>
      <w:r>
        <w:t xml:space="preserve">.</w:t>
      </w:r>
      <w:r>
        <w:br w:type="textWrapping"/>
      </w:r>
      <w:r>
        <w:t xml:space="preserve">c) Bars represent the raw count of total roe deer detections per hour of the day, and density curves show the overall pattern for each group.</w:t>
      </w:r>
      <w:r>
        <w:br w:type="textWrapping"/>
      </w:r>
      <w:r>
        <w:t xml:space="preserve">d) LED-CT photograph of a roe deer. The deer passed the camera repeatedly and often stopped in front of the flashing light</w:t>
      </w:r>
    </w:p>
    <w:p>
      <w:pPr>
        <w:pStyle w:val="BodyText"/>
      </w:pPr>
      <w:r>
        <w:t xml:space="preserve">For roe deer, the model explaining variation in detection rate has a substantial explanatory power (conditional R2 = 0.45), but the part related to the fixed effects alone (marginal R2) is just 0.002.</w:t>
      </w:r>
      <w:r>
        <w:t xml:space="preserve"> </w:t>
      </w:r>
      <w:r>
        <w:t xml:space="preserve">In other words, most of the explained variation in detection rate is due to seasonal changes and variation between the different camera sites captured in the random terms.</w:t>
      </w:r>
    </w:p>
    <w:p>
      <w:pPr>
        <w:pStyle w:val="BodyText"/>
      </w:pPr>
      <w:r>
        <w:t xml:space="preserve">The main effect of the white LED periods were non-significantly positive compared to the control-group (Intercept).</w:t>
      </w:r>
      <w:r>
        <w:t xml:space="preserve"> </w:t>
      </w:r>
      <w:r>
        <w:t xml:space="preserve">The same is true for the IR periods, although to a slightly lower extent.</w:t>
      </w:r>
      <w:r>
        <w:t xml:space="preserve"> </w:t>
      </w:r>
      <w:r>
        <w:t xml:space="preserve">However, along the time since deployment-axis (time.deploy</w:t>
      </w:r>
      <w:r>
        <w:t xml:space="preserve"> </w:t>
      </w:r>
      <m:oMath>
        <m:r>
          <m:rPr/>
          <m:t>*</m:t>
        </m:r>
      </m:oMath>
      <w:r>
        <w:t xml:space="preserve"> </w:t>
      </w:r>
      <w:r>
        <w:t xml:space="preserve">flash [LED]) there was a negative effect, to the extent that after two months the mean detection rate sank below that of the IR periods (see figure [fig:raadyr]a).</w:t>
      </w:r>
      <w:r>
        <w:t xml:space="preserve"> </w:t>
      </w:r>
      <w:r>
        <w:t xml:space="preserve">Nevertheless, the confidence intervals (CI) of both white LED and IR periods almost completely overlap, and hence, are not significantly different.</w:t>
      </w:r>
    </w:p>
    <w:p>
      <w:pPr>
        <w:pStyle w:val="BodyText"/>
      </w:pPr>
      <w:r>
        <w:t xml:space="preserve">When a parameter is within the ROPE in an equivalence test, it signifies that the difference from the Log-mean, and the variance of the parameter, is low enough that we can accept H0, rather than just fail to reject it.</w:t>
      </w:r>
    </w:p>
    <w:p>
      <w:pPr>
        <w:pStyle w:val="BodyText"/>
      </w:pPr>
      <w:r>
        <w:t xml:space="preserve">According to this test, white LED is different enough that we cannot conclude on it’s main effect, but it’s trend over time (Time * LED) is practically equivalent to H0.</w:t>
      </w:r>
      <w:r>
        <w:t xml:space="preserve"> </w:t>
      </w:r>
      <w:r>
        <w:t xml:space="preserve">In other words, the equivalence test suggests that there is no significant difference in the long run, but there might be an increase in detections right after the day of deployment.</w:t>
      </w:r>
      <w:r>
        <w:t xml:space="preserve"> </w:t>
      </w:r>
      <w:r>
        <w:t xml:space="preserve">However, the increase could also result from inhereting a slightly higher detection rate from the IR periods</w:t>
      </w:r>
      <w:r>
        <w:t xml:space="preserve"> </w:t>
      </w:r>
      <w:r>
        <w:rPr>
          <w:i/>
        </w:rPr>
        <w:t xml:space="preserve">if</w:t>
      </w:r>
      <w:r>
        <w:t xml:space="preserve"> </w:t>
      </w:r>
      <w:r>
        <w:t xml:space="preserve">there truly is a negative effect of the white LED over long periods of time.</w:t>
      </w:r>
    </w:p>
    <w:p>
      <w:pPr>
        <w:pStyle w:val="Heading3"/>
      </w:pPr>
      <w:bookmarkStart w:id="39" w:name="red-fox"/>
      <w:bookmarkEnd w:id="39"/>
      <w:r>
        <w:t xml:space="preserve">Red fox</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rev2-1.png" id="0" name="Picture"/>
                    <pic:cNvPicPr>
                      <a:picLocks noChangeArrowheads="1" noChangeAspect="1"/>
                    </pic:cNvPicPr>
                  </pic:nvPicPr>
                  <pic:blipFill>
                    <a:blip r:embed="rId4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Red fox a) The predicted detection rate of red foxes for each level of the flash-variable. Confidence intervals (CI) represented by dotted lines.</w:t>
      </w:r>
      <w:r>
        <w:br w:type="textWrapping"/>
      </w:r>
      <w:r>
        <w:t xml:space="preserve">b) Model parameters presented in an equivalence test. ROPE is set to</w:t>
      </w:r>
      <w:r>
        <w:t xml:space="preserve"> </w:t>
      </w:r>
      <m:oMath>
        <m:r>
          <m:rPr/>
          <m:t>±</m:t>
        </m:r>
      </m:oMath>
      <w:r>
        <w:t xml:space="preserve">0.1 Log-Mean,</w:t>
      </w:r>
      <w:r>
        <w:t xml:space="preserve"> </w:t>
      </w:r>
      <m:oMath>
        <m:r>
          <m:rPr/>
          <m:t>C</m:t>
        </m:r>
        <m:r>
          <m:rPr/>
          <m:t>I</m:t>
        </m:r>
        <m:r>
          <m:rPr/>
          <m:t>=</m:t>
        </m:r>
        <m:r>
          <m:rPr/>
          <m:t>1</m:t>
        </m:r>
        <m:r>
          <m:rPr/>
          <m:t>−</m:t>
        </m:r>
        <m:r>
          <m:rPr/>
          <m:t>2</m:t>
        </m:r>
        <m:r>
          <m:rPr/>
          <m:t>×</m:t>
        </m:r>
        <m:r>
          <m:rPr/>
          <m:t>α</m:t>
        </m:r>
      </m:oMath>
      <w:r>
        <w:t xml:space="preserve">.</w:t>
      </w:r>
      <w:r>
        <w:br w:type="textWrapping"/>
      </w:r>
      <w:r>
        <w:t xml:space="preserve">c) Bars represent the raw count of total fox detections per hour of the day, and density curves show the overall pattern for each group.</w:t>
      </w:r>
      <w:r>
        <w:br w:type="textWrapping"/>
      </w:r>
      <w:r>
        <w:t xml:space="preserve">d) LED-CT photograph of a red fox. The fox stopped in front of the flashing camera and waited for a following individual before they continued.</w:t>
      </w:r>
    </w:p>
    <w:p>
      <w:pPr>
        <w:pStyle w:val="BodyText"/>
      </w:pPr>
      <w:r>
        <w:t xml:space="preserve">For red fox, the model explaining variation in detection rate has a moderate explanatory power (conditional R2 = 0.19), and the part related to the fixed effects alone (marginal R2) is just 0.001.</w:t>
      </w:r>
    </w:p>
    <w:p>
      <w:pPr>
        <w:pStyle w:val="BodyText"/>
      </w:pPr>
      <w:r>
        <w:t xml:space="preserve">The main effect of the white LED periods were non-significantly positive (flash[LED] in table [tab:param]) compared to the IR- and control-periods (flash[IR];Intercept) .</w:t>
      </w:r>
      <w:r>
        <w:t xml:space="preserve"> </w:t>
      </w:r>
      <w:r>
        <w:t xml:space="preserve">However, along the time since deployment-axis (time.deploy</w:t>
      </w:r>
      <w:r>
        <w:t xml:space="preserve"> </w:t>
      </w:r>
      <m:oMath>
        <m:r>
          <m:rPr/>
          <m:t>*</m:t>
        </m:r>
      </m:oMath>
      <w:r>
        <w:t xml:space="preserve"> </w:t>
      </w:r>
      <w:r>
        <w:t xml:space="preserve">flash [LED]) there was a negative effect, to the extent that after two months the mean detection rate sank below that of the IR periods (see figure [fig:raadyr]a).</w:t>
      </w:r>
      <w:r>
        <w:t xml:space="preserve"> </w:t>
      </w:r>
      <w:r>
        <w:t xml:space="preserve">Nevertheless, CI of both white LED and IR periods almost completely overlap, and hence, are not significantly different.</w:t>
      </w:r>
    </w:p>
    <w:p>
      <w:pPr>
        <w:pStyle w:val="Heading3"/>
      </w:pPr>
      <w:bookmarkStart w:id="41" w:name="badger"/>
      <w:bookmarkEnd w:id="41"/>
      <w:r>
        <w:t xml:space="preserve">Badger</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grevling2-1.png" id="0" name="Picture"/>
                    <pic:cNvPicPr>
                      <a:picLocks noChangeArrowheads="1" noChangeAspect="1"/>
                    </pic:cNvPicPr>
                  </pic:nvPicPr>
                  <pic:blipFill>
                    <a:blip r:embed="rId4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Badger a) The predicted detection rate of badgers for each level of the flash-variable. Confidence intervals (CI) represented by dotted lines.</w:t>
      </w:r>
      <w:r>
        <w:br w:type="textWrapping"/>
      </w:r>
      <w:r>
        <w:t xml:space="preserve">b) Model parameters presented in an equivalence test. ROPE is set to</w:t>
      </w:r>
      <w:r>
        <w:t xml:space="preserve"> </w:t>
      </w:r>
      <m:oMath>
        <m:r>
          <m:rPr/>
          <m:t>±</m:t>
        </m:r>
      </m:oMath>
      <w:r>
        <w:t xml:space="preserve">0.1 Log-Mean,</w:t>
      </w:r>
      <w:r>
        <w:t xml:space="preserve"> </w:t>
      </w:r>
      <m:oMath>
        <m:r>
          <m:rPr/>
          <m:t>C</m:t>
        </m:r>
        <m:r>
          <m:rPr/>
          <m:t>I</m:t>
        </m:r>
        <m:r>
          <m:rPr/>
          <m:t>=</m:t>
        </m:r>
        <m:r>
          <m:rPr/>
          <m:t>1</m:t>
        </m:r>
        <m:r>
          <m:rPr/>
          <m:t>−</m:t>
        </m:r>
        <m:r>
          <m:rPr/>
          <m:t>2</m:t>
        </m:r>
        <m:r>
          <m:rPr/>
          <m:t>×</m:t>
        </m:r>
        <m:r>
          <m:rPr/>
          <m:t>α</m:t>
        </m:r>
      </m:oMath>
      <w:r>
        <w:t xml:space="preserve">.</w:t>
      </w:r>
      <w:r>
        <w:br w:type="textWrapping"/>
      </w:r>
      <w:r>
        <w:t xml:space="preserve">c) Bars represent the raw count of total badger detections per hour of the day, and density curves show the overall pattern for each group.</w:t>
      </w:r>
      <w:r>
        <w:br w:type="textWrapping"/>
      </w:r>
      <w:r>
        <w:t xml:space="preserve">d) LED-CT photograph of a badger. DESCRIPT</w:t>
      </w:r>
    </w:p>
    <w:p>
      <w:pPr>
        <w:pStyle w:val="BodyText"/>
      </w:pPr>
      <w:r>
        <w:t xml:space="preserve">For badger, the model explaining variation in detection rate has a substantial explanatory power (conditional R2 = 0.42), but the part related to the fixed effects alone (marginal R2) is just 0.006.</w:t>
      </w:r>
    </w:p>
    <w:p>
      <w:pPr>
        <w:pStyle w:val="Heading3"/>
      </w:pPr>
      <w:bookmarkStart w:id="43" w:name="moose"/>
      <w:bookmarkEnd w:id="43"/>
      <w:r>
        <w:t xml:space="preserve">Moose</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elg2-1.png" id="0" name="Picture"/>
                    <pic:cNvPicPr>
                      <a:picLocks noChangeArrowheads="1" noChangeAspect="1"/>
                    </pic:cNvPicPr>
                  </pic:nvPicPr>
                  <pic:blipFill>
                    <a:blip r:embed="rId4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Moose a) The predicted detection rate of moose for each level of the flash-variable. Confidence intervals (CI) represented by dotted lines.</w:t>
      </w:r>
      <w:r>
        <w:br w:type="textWrapping"/>
      </w:r>
      <w:r>
        <w:t xml:space="preserve">b) Model parameters presented in an equivalence test. ROPE is set to</w:t>
      </w:r>
      <w:r>
        <w:t xml:space="preserve"> </w:t>
      </w:r>
      <m:oMath>
        <m:r>
          <m:rPr/>
          <m:t>±</m:t>
        </m:r>
      </m:oMath>
      <w:r>
        <w:t xml:space="preserve">0.1 Log-Mean,</w:t>
      </w:r>
      <w:r>
        <w:t xml:space="preserve"> </w:t>
      </w:r>
      <m:oMath>
        <m:r>
          <m:rPr/>
          <m:t>C</m:t>
        </m:r>
        <m:r>
          <m:rPr/>
          <m:t>I</m:t>
        </m:r>
        <m:r>
          <m:rPr/>
          <m:t>=</m:t>
        </m:r>
        <m:r>
          <m:rPr/>
          <m:t>1</m:t>
        </m:r>
        <m:r>
          <m:rPr/>
          <m:t>−</m:t>
        </m:r>
        <m:r>
          <m:rPr/>
          <m:t>2</m:t>
        </m:r>
        <m:r>
          <m:rPr/>
          <m:t>×</m:t>
        </m:r>
        <m:r>
          <m:rPr/>
          <m:t>α</m:t>
        </m:r>
      </m:oMath>
      <w:r>
        <w:t xml:space="preserve">.</w:t>
      </w:r>
      <w:r>
        <w:br w:type="textWrapping"/>
      </w:r>
      <w:r>
        <w:t xml:space="preserve">c) Bars represent the raw count of total detections per hour of the day, and density curves show the overall pattern for each group</w:t>
      </w:r>
      <w:r>
        <w:br w:type="textWrapping"/>
      </w:r>
      <w:r>
        <w:t xml:space="preserve">d) LED-CT photograph of a Moose. DESCRIPT</w:t>
      </w:r>
    </w:p>
    <w:p>
      <w:pPr>
        <w:pStyle w:val="Heading3"/>
      </w:pPr>
      <w:bookmarkStart w:id="45" w:name="red-deer"/>
      <w:bookmarkEnd w:id="45"/>
      <w:r>
        <w:t xml:space="preserve">Red deer</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hjort2-1.png" id="0" name="Picture"/>
                    <pic:cNvPicPr>
                      <a:picLocks noChangeArrowheads="1" noChangeAspect="1"/>
                    </pic:cNvPicPr>
                  </pic:nvPicPr>
                  <pic:blipFill>
                    <a:blip r:embed="rId4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Red deer a) The predicted detection rate of red deer for each level of the flash-variable. Confidence intervals (CI) represented by dotted lines.</w:t>
      </w:r>
      <w:r>
        <w:br w:type="textWrapping"/>
      </w:r>
      <w:r>
        <w:t xml:space="preserve">b) Model parameters presented in an equivalence test. ROPE is set to</w:t>
      </w:r>
      <w:r>
        <w:t xml:space="preserve"> </w:t>
      </w:r>
      <m:oMath>
        <m:r>
          <m:rPr/>
          <m:t>±</m:t>
        </m:r>
      </m:oMath>
      <w:r>
        <w:t xml:space="preserve">0.1 Log-Mean,</w:t>
      </w:r>
      <w:r>
        <w:t xml:space="preserve"> </w:t>
      </w:r>
      <m:oMath>
        <m:r>
          <m:rPr/>
          <m:t>C</m:t>
        </m:r>
        <m:r>
          <m:rPr/>
          <m:t>I</m:t>
        </m:r>
        <m:r>
          <m:rPr/>
          <m:t>=</m:t>
        </m:r>
        <m:r>
          <m:rPr/>
          <m:t>1</m:t>
        </m:r>
        <m:r>
          <m:rPr/>
          <m:t>−</m:t>
        </m:r>
        <m:r>
          <m:rPr/>
          <m:t>2</m:t>
        </m:r>
        <m:r>
          <m:rPr/>
          <m:t>×</m:t>
        </m:r>
        <m:r>
          <m:rPr/>
          <m:t>α</m:t>
        </m:r>
      </m:oMath>
      <w:r>
        <w:t xml:space="preserve">.</w:t>
      </w:r>
      <w:r>
        <w:br w:type="textWrapping"/>
      </w:r>
      <w:r>
        <w:t xml:space="preserve">c) Bars represent the raw count of total Red deer detections per hour of the day, and density curves show the overall pattern for each group.</w:t>
      </w:r>
      <w:r>
        <w:br w:type="textWrapping"/>
      </w:r>
      <w:r>
        <w:t xml:space="preserve">d) LED-CT photograph of a red deer. DESCRIPT</w:t>
      </w:r>
    </w:p>
    <w:p>
      <w:pPr>
        <w:pStyle w:val="Heading3"/>
      </w:pPr>
      <w:bookmarkStart w:id="47" w:name="lynx"/>
      <w:bookmarkEnd w:id="47"/>
      <w:r>
        <w:t xml:space="preserve">Lynx</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gaupe2-1.png" id="0" name="Picture"/>
                    <pic:cNvPicPr>
                      <a:picLocks noChangeArrowheads="1" noChangeAspect="1"/>
                    </pic:cNvPicPr>
                  </pic:nvPicPr>
                  <pic:blipFill>
                    <a:blip r:embed="rId4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Lynx a) The predicted detection rate of lynx for each level of the flash-variable. Confidence intervals (CI) represented by dotted lines.</w:t>
      </w:r>
      <w:r>
        <w:br w:type="textWrapping"/>
      </w:r>
      <w:r>
        <w:t xml:space="preserve">b) Model parameters presented in an equivalence test. ROPE is set to</w:t>
      </w:r>
      <w:r>
        <w:t xml:space="preserve"> </w:t>
      </w:r>
      <m:oMath>
        <m:r>
          <m:rPr/>
          <m:t>±</m:t>
        </m:r>
      </m:oMath>
      <w:r>
        <w:t xml:space="preserve">0.1 Log-Mean,</w:t>
      </w:r>
      <w:r>
        <w:t xml:space="preserve"> </w:t>
      </w:r>
      <m:oMath>
        <m:r>
          <m:rPr/>
          <m:t>C</m:t>
        </m:r>
        <m:r>
          <m:rPr/>
          <m:t>I</m:t>
        </m:r>
        <m:r>
          <m:rPr/>
          <m:t>=</m:t>
        </m:r>
        <m:r>
          <m:rPr/>
          <m:t>1</m:t>
        </m:r>
        <m:r>
          <m:rPr/>
          <m:t>−</m:t>
        </m:r>
        <m:r>
          <m:rPr/>
          <m:t>2</m:t>
        </m:r>
        <m:r>
          <m:rPr/>
          <m:t>×</m:t>
        </m:r>
        <m:r>
          <m:rPr/>
          <m:t>α</m:t>
        </m:r>
      </m:oMath>
      <w:r>
        <w:t xml:space="preserve">.</w:t>
      </w:r>
      <w:r>
        <w:br w:type="textWrapping"/>
      </w:r>
      <w:r>
        <w:t xml:space="preserve">c) Bars represent the raw count of total lynx detections per hour of the day, and density curves show the overall pattern for each group.</w:t>
      </w:r>
      <w:r>
        <w:br w:type="textWrapping"/>
      </w:r>
      <w:r>
        <w:t xml:space="preserve">d) LED-CT photograph of a lynx. DESCRIPT</w:t>
      </w:r>
    </w:p>
    <w:p>
      <w:pPr>
        <w:pStyle w:val="Heading3"/>
      </w:pPr>
      <w:bookmarkStart w:id="49" w:name="hare"/>
      <w:bookmarkEnd w:id="49"/>
      <w:r>
        <w:t xml:space="preserve">Hare</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hare2-1.png" id="0" name="Picture"/>
                    <pic:cNvPicPr>
                      <a:picLocks noChangeArrowheads="1" noChangeAspect="1"/>
                    </pic:cNvPicPr>
                  </pic:nvPicPr>
                  <pic:blipFill>
                    <a:blip r:embed="rId5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Hare a) The predicted detection rate of hares for each level of the flash-variable. Confidence intervals (CI) represented by dotted lines.</w:t>
      </w:r>
      <w:r>
        <w:br w:type="textWrapping"/>
      </w:r>
      <w:r>
        <w:t xml:space="preserve">b) Model parameters presented in an equivalence test. ROPE is set to</w:t>
      </w:r>
      <w:r>
        <w:t xml:space="preserve"> </w:t>
      </w:r>
      <m:oMath>
        <m:r>
          <m:rPr/>
          <m:t>±</m:t>
        </m:r>
      </m:oMath>
      <w:r>
        <w:t xml:space="preserve">0.1 Log-Mean,</w:t>
      </w:r>
      <w:r>
        <w:t xml:space="preserve"> </w:t>
      </w:r>
      <m:oMath>
        <m:r>
          <m:rPr/>
          <m:t>C</m:t>
        </m:r>
        <m:r>
          <m:rPr/>
          <m:t>I</m:t>
        </m:r>
        <m:r>
          <m:rPr/>
          <m:t>=</m:t>
        </m:r>
        <m:r>
          <m:rPr/>
          <m:t>1</m:t>
        </m:r>
        <m:r>
          <m:rPr/>
          <m:t>−</m:t>
        </m:r>
        <m:r>
          <m:rPr/>
          <m:t>2</m:t>
        </m:r>
        <m:r>
          <m:rPr/>
          <m:t>×</m:t>
        </m:r>
        <m:r>
          <m:rPr/>
          <m:t>α</m:t>
        </m:r>
      </m:oMath>
      <w:r>
        <w:t xml:space="preserve">.</w:t>
      </w:r>
      <w:r>
        <w:br w:type="textWrapping"/>
      </w:r>
      <w:r>
        <w:t xml:space="preserve">c) Bars represent the raw count of total hare detections per hour of the day, and density curves show the overall pattern for each group.</w:t>
      </w:r>
      <w:r>
        <w:br w:type="textWrapping"/>
      </w:r>
      <w:r>
        <w:t xml:space="preserve">d) LED-CT photograph of a hare. DESCRIPT</w:t>
      </w:r>
    </w:p>
    <w:p>
      <w:pPr>
        <w:pStyle w:val="Heading3"/>
      </w:pPr>
      <w:bookmarkStart w:id="51" w:name="pine-marten"/>
      <w:bookmarkEnd w:id="51"/>
      <w:r>
        <w:t xml:space="preserve">Pine marten</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maar2-1.png" id="0"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Pine marten a) The predicted detection rate of pine martens for each level of the flash-variable. Confidence intervals (CI) represented by dotted lines.</w:t>
      </w:r>
      <w:r>
        <w:br w:type="textWrapping"/>
      </w:r>
      <w:r>
        <w:t xml:space="preserve">b) Model parameters presented in an equivalence test. ROPE is set to</w:t>
      </w:r>
      <w:r>
        <w:t xml:space="preserve"> </w:t>
      </w:r>
      <m:oMath>
        <m:r>
          <m:rPr/>
          <m:t>±</m:t>
        </m:r>
      </m:oMath>
      <w:r>
        <w:t xml:space="preserve">0.1 Log-Mean,</w:t>
      </w:r>
      <w:r>
        <w:t xml:space="preserve"> </w:t>
      </w:r>
      <m:oMath>
        <m:r>
          <m:rPr/>
          <m:t>C</m:t>
        </m:r>
        <m:r>
          <m:rPr/>
          <m:t>I</m:t>
        </m:r>
        <m:r>
          <m:rPr/>
          <m:t>=</m:t>
        </m:r>
        <m:r>
          <m:rPr/>
          <m:t>1</m:t>
        </m:r>
        <m:r>
          <m:rPr/>
          <m:t>−</m:t>
        </m:r>
        <m:r>
          <m:rPr/>
          <m:t>2</m:t>
        </m:r>
        <m:r>
          <m:rPr/>
          <m:t>×</m:t>
        </m:r>
        <m:r>
          <m:rPr/>
          <m:t>α</m:t>
        </m:r>
      </m:oMath>
      <w:r>
        <w:t xml:space="preserve">.</w:t>
      </w:r>
      <w:r>
        <w:br w:type="textWrapping"/>
      </w:r>
      <w:r>
        <w:t xml:space="preserve">c) Bars represent the raw count of total pine marten detections per hour of the day, and density curves show the overall pattern for each group.</w:t>
      </w:r>
      <w:r>
        <w:br w:type="textWrapping"/>
      </w:r>
      <w:r>
        <w:t xml:space="preserve">d) LED-CT photograph of a pine marten. DESCRIPT</w:t>
      </w:r>
    </w:p>
    <w:p>
      <w:pPr>
        <w:pStyle w:val="Heading3"/>
      </w:pPr>
      <w:bookmarkStart w:id="53" w:name="red-squirrel"/>
      <w:bookmarkEnd w:id="53"/>
      <w:r>
        <w:t xml:space="preserve">Red squirrel</w:t>
      </w:r>
    </w:p>
    <w:p>
      <w:pPr>
        <w:pStyle w:val="FigureWithCaption"/>
      </w:pPr>
      <w:r>
        <w:drawing>
          <wp:inline>
            <wp:extent cx="5334000" cy="3809999"/>
            <wp:effectExtent b="0" l="0" r="0" t="0"/>
            <wp:docPr descr="" id="1" name="Picture"/>
            <a:graphic>
              <a:graphicData uri="http://schemas.openxmlformats.org/drawingml/2006/picture">
                <pic:pic>
                  <pic:nvPicPr>
                    <pic:cNvPr descr="../R/glmm_sp_files/figure-html/ekorn2-1.png" id="0" name="Picture"/>
                    <pic:cNvPicPr>
                      <a:picLocks noChangeArrowheads="1" noChangeAspect="1"/>
                    </pic:cNvPicPr>
                  </pic:nvPicPr>
                  <pic:blipFill>
                    <a:blip r:embed="rId5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Red squirrel a) The predicted detection rate of squirrels for each level of the flash-variable. Confidence intervals (CI) represented by dotted lines.</w:t>
      </w:r>
      <w:r>
        <w:br w:type="textWrapping"/>
      </w:r>
      <w:r>
        <w:t xml:space="preserve">b) Model parameters presented in an equivalence test. ROPE is set to</w:t>
      </w:r>
      <w:r>
        <w:t xml:space="preserve"> </w:t>
      </w:r>
      <m:oMath>
        <m:r>
          <m:rPr/>
          <m:t>±</m:t>
        </m:r>
      </m:oMath>
      <w:r>
        <w:t xml:space="preserve">0.1 Log-Mean,</w:t>
      </w:r>
      <w:r>
        <w:t xml:space="preserve"> </w:t>
      </w:r>
      <m:oMath>
        <m:r>
          <m:rPr/>
          <m:t>C</m:t>
        </m:r>
        <m:r>
          <m:rPr/>
          <m:t>I</m:t>
        </m:r>
        <m:r>
          <m:rPr/>
          <m:t>=</m:t>
        </m:r>
        <m:r>
          <m:rPr/>
          <m:t>1</m:t>
        </m:r>
        <m:r>
          <m:rPr/>
          <m:t>−</m:t>
        </m:r>
        <m:r>
          <m:rPr/>
          <m:t>2</m:t>
        </m:r>
        <m:r>
          <m:rPr/>
          <m:t>×</m:t>
        </m:r>
        <m:r>
          <m:rPr/>
          <m:t>α</m:t>
        </m:r>
      </m:oMath>
      <w:r>
        <w:t xml:space="preserve">.</w:t>
      </w:r>
      <w:r>
        <w:br w:type="textWrapping"/>
      </w:r>
      <w:r>
        <w:t xml:space="preserve">c) Bars represent the raw count of total squirrel detections per hour of the day, and density curves show the overall pattern for each group.</w:t>
      </w:r>
      <w:r>
        <w:br w:type="textWrapping"/>
      </w:r>
      <w:r>
        <w:t xml:space="preserve">d) LED-CT photograph of a squirrel. DESCRIPT</w:t>
      </w:r>
    </w:p>
    <w:p>
      <w:pPr>
        <w:pStyle w:val="BodyText"/>
      </w:pPr>
      <w:r>
        <w:t xml:space="preserve">The model for red squirrel failed to converge, and therefore the p-values should be disregarded.</w:t>
      </w:r>
    </w:p>
    <w:p>
      <w:pPr>
        <w:pStyle w:val="BodyText"/>
      </w:pPr>
      <w:r>
        <w:t xml:space="preserve">Still, it is interesting to see the IR and LED-slopes crossing each other. Looking at the density plot, one would not expect that most squirrels were flashed by the white LED particularly often, as most detections are during the day.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1332d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26" Target="media/rId26.jp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Flashing Large Mammals Quantifying the effect of white LED flash on camera trapping detection rates   image  </dc:title>
  <dc:creator>Torgeir Holmgard Valle</dc:creator>
</cp:coreProperties>
</file>