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00" w:after="160"/>
      </w:pPr>
      <w:r>
        <w:rPr>
          <w:rFonts w:ascii="Aptos Display" w:hAnsi="Aptos Display"/>
          <w:b/>
          <w:i w:val="0"/>
          <w:color w:val="000000"/>
          <w:sz w:val="52"/>
        </w:rPr>
        <w:t>FPT Corporation Equity Research Update</w:t>
      </w:r>
    </w:p>
    <w:p>
      <w:pPr>
        <w:keepNext w:val="0"/>
        <w:spacing w:after="90" w:line="259" w:lineRule="auto"/>
      </w:pPr>
      <w:r>
        <w:rPr>
          <w:rFonts w:ascii="Aptos" w:hAnsi="Aptos"/>
          <w:b w:val="0"/>
          <w:i w:val="0"/>
          <w:color w:val="666666"/>
          <w:sz w:val="28"/>
        </w:rPr>
        <w:t>Clock B live underwriting after the 2026 reporting-basis change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8"/>
              </w:rPr>
              <w:t>Research item</w:t>
            </w:r>
          </w:p>
        </w:tc>
        <w:tc>
          <w:tcPr>
            <w:tcW w:type="dxa" w:w="66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8"/>
              </w:rPr>
              <w:t>Clock B snapshot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17365D"/>
          </w:tcPr>
          <w:p>
            <w:pPr>
              <w:spacing w:after="0" w:line="240" w:lineRule="auto"/>
            </w:pPr>
            <w:r>
              <w:rPr>
                <w:rFonts w:ascii="Aptos" w:hAnsi="Aptos"/>
                <w:b/>
                <w:i w:val="0"/>
                <w:color w:val="FFFFFF"/>
                <w:sz w:val="18"/>
              </w:rPr>
              <w:t>Company</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8"/>
              </w:rPr>
              <w:t>FPT Corporation</w:t>
            </w:r>
          </w:p>
        </w:tc>
      </w:tr>
      <w:t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8"/>
              </w:rPr>
              <w:t>Ticker</w:t>
            </w:r>
          </w:p>
        </w:tc>
        <w:tc>
          <w:tcPr>
            <w:tcW w:type="dxa" w:w="66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8"/>
              </w:rPr>
              <w:t>HOSE FPT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17365D"/>
          </w:tcPr>
          <w:p>
            <w:pPr>
              <w:spacing w:after="0" w:line="240" w:lineRule="auto"/>
            </w:pPr>
            <w:r>
              <w:rPr>
                <w:rFonts w:ascii="Aptos" w:hAnsi="Aptos"/>
                <w:b/>
                <w:i w:val="0"/>
                <w:color w:val="FFFFFF"/>
                <w:sz w:val="18"/>
              </w:rPr>
              <w:t>Valuation date</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8"/>
              </w:rPr>
              <w:t>9 October 2026</w:t>
            </w:r>
          </w:p>
        </w:tc>
      </w:tr>
      <w:t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8"/>
              </w:rPr>
              <w:t>Market price</w:t>
            </w:r>
          </w:p>
        </w:tc>
        <w:tc>
          <w:tcPr>
            <w:tcW w:type="dxa" w:w="66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8"/>
              </w:rPr>
              <w:t>VND 57,900</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17365D"/>
          </w:tcPr>
          <w:p>
            <w:pPr>
              <w:spacing w:after="0" w:line="240" w:lineRule="auto"/>
            </w:pPr>
            <w:r>
              <w:rPr>
                <w:rFonts w:ascii="Aptos" w:hAnsi="Aptos"/>
                <w:b/>
                <w:i w:val="0"/>
                <w:color w:val="FFFFFF"/>
                <w:sz w:val="18"/>
              </w:rPr>
              <w:t>Blended fair value</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8"/>
              </w:rPr>
              <w:t>VND 94,498</w:t>
            </w:r>
          </w:p>
        </w:tc>
      </w:tr>
      <w:t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8"/>
              </w:rPr>
              <w:t>Upside</w:t>
            </w:r>
          </w:p>
        </w:tc>
        <w:tc>
          <w:tcPr>
            <w:tcW w:type="dxa" w:w="66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8"/>
              </w:rPr>
              <w:t>63.2%</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17365D"/>
          </w:tcPr>
          <w:p>
            <w:pPr>
              <w:spacing w:after="0" w:line="240" w:lineRule="auto"/>
            </w:pPr>
            <w:r>
              <w:rPr>
                <w:rFonts w:ascii="Aptos" w:hAnsi="Aptos"/>
                <w:b/>
                <w:i w:val="0"/>
                <w:color w:val="FFFFFF"/>
                <w:sz w:val="18"/>
              </w:rPr>
              <w:t>Mechanical rating</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8"/>
              </w:rPr>
              <w:t>BUY</w:t>
            </w:r>
          </w:p>
        </w:tc>
      </w:tr>
      <w:t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8"/>
              </w:rPr>
              <w:t>Risk label</w:t>
            </w:r>
          </w:p>
        </w:tc>
        <w:tc>
          <w:tcPr>
            <w:tcW w:type="dxa" w:w="66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8"/>
              </w:rPr>
              <w:t>HIGH</w:t>
            </w:r>
          </w:p>
        </w:tc>
      </w:tr>
    </w:tbl>
    <w:p>
      <w:pPr>
        <w:keepNext/>
        <w:spacing w:after="90" w:line="259" w:lineRule="auto"/>
      </w:pPr>
      <w:r>
        <w:rPr>
          <w:rFonts w:ascii="Aptos" w:hAnsi="Aptos"/>
          <w:b w:val="0"/>
          <w:i w:val="0"/>
          <w:color w:val="666666"/>
          <w:sz w:val="22"/>
        </w:rPr>
        <w:t>Decision</w:t>
      </w:r>
    </w:p>
    <w:p>
      <w:pPr>
        <w:keepNext w:val="0"/>
        <w:spacing w:after="90" w:line="259" w:lineRule="auto"/>
      </w:pPr>
      <w:r>
        <w:rPr>
          <w:rFonts w:ascii="Aptos" w:hAnsi="Aptos"/>
          <w:b w:val="0"/>
          <w:i w:val="0"/>
          <w:color w:val="000000"/>
          <w:sz w:val="22"/>
        </w:rPr>
        <w:t>Open or retain a measured position only if the mandate accepts high cash-conversion risk. The valuation gap is material, but the next increase in exposure should require FY2026 evidence that the H1 working-capital outflow reverses.</w:t>
      </w:r>
    </w:p>
    <w:p>
      <w:pPr>
        <w:keepNext/>
        <w:spacing w:after="90" w:line="259" w:lineRule="auto"/>
      </w:pPr>
      <w:r>
        <w:rPr>
          <w:rFonts w:ascii="Aptos" w:hAnsi="Aptos"/>
          <w:b w:val="0"/>
          <w:i w:val="0"/>
          <w:color w:val="666666"/>
          <w:sz w:val="22"/>
        </w:rPr>
        <w:t>Important</w:t>
      </w:r>
    </w:p>
    <w:p>
      <w:pPr>
        <w:keepNext w:val="0"/>
        <w:spacing w:after="90" w:line="259" w:lineRule="auto"/>
      </w:pPr>
      <w:r>
        <w:rPr>
          <w:rFonts w:ascii="Aptos" w:hAnsi="Aptos"/>
          <w:b w:val="0"/>
          <w:i/>
          <w:color w:val="000000"/>
          <w:sz w:val="18"/>
        </w:rPr>
        <w:t>This is independent portfolio research based on public information. It is not investment advice, a solicitation, or a broker recommendation.</w:t>
      </w:r>
    </w:p>
    <w:p>
      <w:r>
        <w:br w:type="page"/>
      </w:r>
    </w:p>
    <w:p>
      <w:pPr>
        <w:pStyle w:val="Heading1"/>
        <w:keepNext/>
        <w:spacing w:before="160" w:after="80"/>
      </w:pPr>
      <w:r>
        <w:rPr>
          <w:rFonts w:ascii="Aptos Display" w:hAnsi="Aptos Display"/>
          <w:b/>
          <w:i w:val="0"/>
          <w:color w:val="000000"/>
          <w:sz w:val="30"/>
        </w:rPr>
        <w:t>Investment conclusion</w:t>
      </w:r>
    </w:p>
    <w:p>
      <w:pPr>
        <w:keepNext w:val="0"/>
        <w:spacing w:after="90" w:line="259" w:lineRule="auto"/>
      </w:pPr>
      <w:r>
        <w:rPr>
          <w:rFonts w:ascii="Aptos" w:hAnsi="Aptos"/>
          <w:b w:val="0"/>
          <w:i w:val="0"/>
          <w:color w:val="000000"/>
          <w:sz w:val="21"/>
        </w:rPr>
        <w:t>Clock B produces a blended fair value of VND 94,498 per share, 63.2% above the observed VND 57,900 price. The primary SOTP value is VND 97,511; a 2027E P/E cross-check gives VND 89,978. The valuation supports a mechanical BUY, while the live evidence supports only measured sizing because cash conversion is red.</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72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Market</w:t>
            </w:r>
          </w:p>
        </w:tc>
        <w:tc>
          <w:tcPr>
            <w:tcW w:type="dxa" w:w="187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SOTP</w:t>
            </w:r>
          </w:p>
        </w:tc>
        <w:tc>
          <w:tcPr>
            <w:tcW w:type="dxa" w:w="187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P/E</w:t>
            </w:r>
          </w:p>
        </w:tc>
        <w:tc>
          <w:tcPr>
            <w:tcW w:type="dxa" w:w="187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Blended</w:t>
            </w:r>
          </w:p>
        </w:tc>
        <w:tc>
          <w:tcPr>
            <w:tcW w:type="dxa" w:w="15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Monitor</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VND 57,900</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VND 97,511</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VND 89,978</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VND 94,498</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AMBER</w:t>
            </w:r>
          </w:p>
        </w:tc>
      </w:tr>
    </w:tbl>
    <w:p>
      <w:pPr>
        <w:jc w:val="center"/>
      </w:pPr>
      <w:r>
        <w:drawing>
          <wp:inline xmlns:a="http://schemas.openxmlformats.org/drawingml/2006/main" xmlns:pic="http://schemas.openxmlformats.org/drawingml/2006/picture">
            <wp:extent cx="6172200" cy="2811780"/>
            <wp:docPr id="1" name="Picture 1" descr="Horizontal bars comparing the Clock B FPT market price, 2027 earnings value, sum-of-parts value and blended fair value"/>
            <wp:cNvGraphicFramePr>
              <a:graphicFrameLocks noChangeAspect="1"/>
            </wp:cNvGraphicFramePr>
            <a:graphic>
              <a:graphicData uri="http://schemas.openxmlformats.org/drawingml/2006/picture">
                <pic:pic>
                  <pic:nvPicPr>
                    <pic:cNvPr id="0" name="clock_b_valuation_crosscheck.png"/>
                    <pic:cNvPicPr/>
                  </pic:nvPicPr>
                  <pic:blipFill>
                    <a:blip r:embed="rId11"/>
                    <a:stretch>
                      <a:fillRect/>
                    </a:stretch>
                  </pic:blipFill>
                  <pic:spPr>
                    <a:xfrm>
                      <a:off x="0" y="0"/>
                      <a:ext cx="6172200" cy="2811780"/>
                    </a:xfrm>
                    <a:prstGeom prst="rect"/>
                  </pic:spPr>
                </pic:pic>
              </a:graphicData>
            </a:graphic>
          </wp:inline>
        </w:drawing>
      </w:r>
    </w:p>
    <w:p>
      <w:pPr>
        <w:spacing w:after="80"/>
        <w:jc w:val="center"/>
      </w:pPr>
      <w:r>
        <w:rPr>
          <w:rFonts w:ascii="Aptos" w:hAnsi="Aptos"/>
          <w:b w:val="0"/>
          <w:i/>
          <w:color w:val="666666"/>
          <w:sz w:val="15"/>
        </w:rPr>
        <w:t>Figure 1  Market price and Clock B valuation methods</w:t>
      </w:r>
    </w:p>
    <w:p>
      <w:pPr>
        <w:pStyle w:val="Heading2"/>
        <w:keepNext/>
        <w:spacing w:before="100" w:after="80"/>
      </w:pPr>
      <w:r>
        <w:rPr>
          <w:rFonts w:ascii="Aptos Display" w:hAnsi="Aptos Display"/>
          <w:b/>
          <w:i w:val="0"/>
          <w:color w:val="000000"/>
          <w:sz w:val="23"/>
        </w:rPr>
        <w:t>Why the market may be too pessimistic</w:t>
      </w:r>
    </w:p>
    <w:p>
      <w:pPr>
        <w:pStyle w:val="ListBullet"/>
        <w:spacing w:after="50" w:line="250" w:lineRule="auto"/>
      </w:pPr>
      <w:r>
        <w:rPr>
          <w:rFonts w:ascii="Aptos" w:hAnsi="Aptos"/>
          <w:b w:val="0"/>
          <w:i w:val="0"/>
          <w:color w:val="000000"/>
          <w:sz w:val="18"/>
        </w:rPr>
        <w:t>The market trades at approximately 10.9x trailing earnings while 8M2026 revenue and profit before tax grew 13.5% and 17.5%.</w:t>
      </w:r>
    </w:p>
    <w:p>
      <w:pPr>
        <w:pStyle w:val="ListBullet"/>
        <w:spacing w:after="50" w:line="250" w:lineRule="auto"/>
      </w:pPr>
      <w:r>
        <w:rPr>
          <w:rFonts w:ascii="Aptos" w:hAnsi="Aptos"/>
          <w:b w:val="0"/>
          <w:i w:val="0"/>
          <w:color w:val="000000"/>
          <w:sz w:val="18"/>
        </w:rPr>
        <w:t>H1 new signed revenue grew 32.3%; Japan revenue grew 24.4%; AI and data-analytics revenue grew 54%.</w:t>
      </w:r>
    </w:p>
    <w:p>
      <w:pPr>
        <w:pStyle w:val="ListBullet"/>
        <w:spacing w:after="50" w:line="250" w:lineRule="auto"/>
      </w:pPr>
      <w:r>
        <w:rPr>
          <w:rFonts w:ascii="Aptos" w:hAnsi="Aptos"/>
          <w:b w:val="0"/>
          <w:i w:val="0"/>
          <w:color w:val="000000"/>
          <w:sz w:val="18"/>
        </w:rPr>
        <w:t>The Base cross-check uses 15.0x 2027E earnings rather than requiring a return to Clock A's higher comparable multiple.</w:t>
      </w:r>
    </w:p>
    <w:p>
      <w:pPr>
        <w:pStyle w:val="Heading2"/>
        <w:keepNext/>
        <w:spacing w:before="100" w:after="80"/>
      </w:pPr>
      <w:r>
        <w:rPr>
          <w:rFonts w:ascii="Aptos Display" w:hAnsi="Aptos Display"/>
          <w:b/>
          <w:i w:val="0"/>
          <w:color w:val="000000"/>
          <w:sz w:val="23"/>
        </w:rPr>
        <w:t>Why position size should remain measured</w:t>
      </w:r>
    </w:p>
    <w:p>
      <w:pPr>
        <w:pStyle w:val="ListBullet"/>
        <w:spacing w:after="50" w:line="250" w:lineRule="auto"/>
      </w:pPr>
      <w:r>
        <w:rPr>
          <w:rFonts w:ascii="Aptos" w:hAnsi="Aptos"/>
          <w:b w:val="0"/>
          <w:i w:val="0"/>
          <w:color w:val="000000"/>
          <w:sz w:val="18"/>
        </w:rPr>
        <w:t>H1 operating cash flow was negative VND1,145.7bn against parent net profit of VND5,055.0bn.</w:t>
      </w:r>
    </w:p>
    <w:p>
      <w:pPr>
        <w:pStyle w:val="ListBullet"/>
        <w:spacing w:after="50" w:line="250" w:lineRule="auto"/>
      </w:pPr>
      <w:r>
        <w:rPr>
          <w:rFonts w:ascii="Aptos" w:hAnsi="Aptos"/>
          <w:b w:val="0"/>
          <w:i w:val="0"/>
          <w:color w:val="000000"/>
          <w:sz w:val="18"/>
        </w:rPr>
        <w:t>The FY2025 post mortem already identified capex and working capital as the largest FCFF forecast errors.</w:t>
      </w:r>
    </w:p>
    <w:p>
      <w:pPr>
        <w:pStyle w:val="ListBullet"/>
        <w:spacing w:after="50" w:line="250" w:lineRule="auto"/>
      </w:pPr>
      <w:r>
        <w:rPr>
          <w:rFonts w:ascii="Aptos" w:hAnsi="Aptos"/>
          <w:b w:val="0"/>
          <w:i w:val="0"/>
          <w:color w:val="000000"/>
          <w:sz w:val="18"/>
        </w:rPr>
        <w:t>The change to equity-method accounting reduces comparability and raises the risk of misreading group growth and cash flow.</w:t>
      </w:r>
    </w:p>
    <w:p>
      <w:r>
        <w:br w:type="page"/>
      </w:r>
    </w:p>
    <w:p>
      <w:pPr>
        <w:pStyle w:val="Heading1"/>
        <w:keepNext/>
        <w:spacing w:before="160" w:after="80"/>
      </w:pPr>
      <w:r>
        <w:rPr>
          <w:rFonts w:ascii="Aptos Display" w:hAnsi="Aptos Display"/>
          <w:b/>
          <w:i w:val="0"/>
          <w:color w:val="000000"/>
          <w:sz w:val="30"/>
        </w:rPr>
        <w:t>What changed from Clock A</w:t>
      </w:r>
    </w:p>
    <w:p>
      <w:pPr>
        <w:keepNext w:val="0"/>
        <w:spacing w:after="90" w:line="259" w:lineRule="auto"/>
      </w:pPr>
      <w:r>
        <w:rPr>
          <w:rFonts w:ascii="Aptos" w:hAnsi="Aptos"/>
          <w:b w:val="0"/>
          <w:i w:val="0"/>
          <w:color w:val="000000"/>
          <w:sz w:val="19"/>
        </w:rPr>
        <w:t>Clock A valued the fully consolidated group at 31 October 2025. From 1 January 2026, FPT Telecom moved to the equity method following the governance change. Parent net profit and EPS were not affected by presentation, but group revenue, EBIT, cash flow, assets, debt and non-controlling interests became structurally non-comparable.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Item</w:t>
            </w:r>
          </w:p>
        </w:tc>
        <w:tc>
          <w:tcPr>
            <w:tcW w:type="dxa" w:w="33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Clock A</w:t>
            </w:r>
          </w:p>
        </w:tc>
        <w:tc>
          <w:tcPr>
            <w:tcW w:type="dxa" w:w="388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Clock B response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Reporting perimeter</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FPT Telecom fully consolidated</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Continuing operations plus associate line</w:t>
            </w:r>
          </w:p>
        </w:tc>
      </w:tr>
      <w:tr>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Primary valuation</w:t>
            </w:r>
          </w:p>
        </w:tc>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Whole-group FCFF DCF</w:t>
            </w:r>
          </w:p>
        </w:tc>
        <w:tc>
          <w:tcPr>
            <w:tcW w:type="dxa" w:w="38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Operating DCF plus capitalised associate earnings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Share count</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Pre-2026 reference basis</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1,885.7m post-bonus shares</w:t>
            </w:r>
          </w:p>
        </w:tc>
      </w:tr>
      <w:tr>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WACC</w:t>
            </w:r>
          </w:p>
        </w:tc>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10.2%</w:t>
            </w:r>
          </w:p>
        </w:tc>
        <w:tc>
          <w:tcPr>
            <w:tcW w:type="dxa" w:w="38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10.9% Base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Starting margin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Old consolidated basis</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14.8% H1 anchor</w:t>
            </w:r>
          </w:p>
        </w:tc>
      </w:tr>
      <w:tr>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Cross-check</w:t>
            </w:r>
          </w:p>
        </w:tc>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2025 peer snapshot</w:t>
            </w:r>
          </w:p>
        </w:tc>
        <w:tc>
          <w:tcPr>
            <w:tcW w:type="dxa" w:w="38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15.0x 2027E analyst multiple</w:t>
            </w:r>
          </w:p>
        </w:tc>
      </w:tr>
    </w:tbl>
    <w:p>
      <w:pPr>
        <w:pStyle w:val="Heading2"/>
        <w:keepNext/>
        <w:spacing w:before="100" w:after="80"/>
      </w:pPr>
      <w:r>
        <w:rPr>
          <w:rFonts w:ascii="Aptos Display" w:hAnsi="Aptos Display"/>
          <w:b/>
          <w:i w:val="0"/>
          <w:color w:val="000000"/>
          <w:sz w:val="23"/>
        </w:rPr>
        <w:t>Clock B valuation architecture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93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Step</w:t>
            </w:r>
          </w:p>
        </w:tc>
        <w:tc>
          <w:tcPr>
            <w:tcW w:type="dxa" w:w="446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Calculation</w:t>
            </w:r>
          </w:p>
        </w:tc>
        <w:tc>
          <w:tcPr>
            <w:tcW w:type="dxa" w:w="410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Double-count control</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DCF continuing-operation FCFF</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Excludes equity-accounted associates</w:t>
            </w:r>
          </w:p>
        </w:tc>
      </w:tr>
      <w:tr>
        <w:tc>
          <w:tcPr>
            <w:tcW w:type="dxa" w:w="93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2</w:t>
            </w:r>
          </w:p>
        </w:tc>
        <w:tc>
          <w:tcPr>
            <w:tcW w:type="dxa" w:w="446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Capitalise 2027E associate profit</w:t>
            </w:r>
          </w:p>
        </w:tc>
        <w:tc>
          <w:tcPr>
            <w:tcW w:type="dxa" w:w="410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Do not add associate book value</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3</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Add cash and short-term investments</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Use 30 June 2026 reported balances</w:t>
            </w:r>
          </w:p>
        </w:tc>
      </w:tr>
      <w:tr>
        <w:tc>
          <w:tcPr>
            <w:tcW w:type="dxa" w:w="93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4</w:t>
            </w:r>
          </w:p>
        </w:tc>
        <w:tc>
          <w:tcPr>
            <w:tcW w:type="dxa" w:w="446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Subtract debt and NCI</w:t>
            </w:r>
          </w:p>
        </w:tc>
        <w:tc>
          <w:tcPr>
            <w:tcW w:type="dxa" w:w="410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Use balances on the same reporting date</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5</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Divide by post-bonus shares</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Avoid stale per-share denominators</w:t>
            </w:r>
          </w:p>
        </w:tc>
      </w:tr>
    </w:tbl>
    <w:p>
      <w:pPr>
        <w:pStyle w:val="Heading2"/>
        <w:keepNext/>
        <w:spacing w:before="100" w:after="80"/>
      </w:pPr>
      <w:r>
        <w:rPr>
          <w:rFonts w:ascii="Aptos Display" w:hAnsi="Aptos Display"/>
          <w:b/>
          <w:i w:val="0"/>
          <w:color w:val="000000"/>
          <w:sz w:val="23"/>
        </w:rPr>
        <w:t>Interpretation boundary</w:t>
      </w:r>
    </w:p>
    <w:p>
      <w:pPr>
        <w:keepNext w:val="0"/>
        <w:spacing w:after="90" w:line="259" w:lineRule="auto"/>
      </w:pPr>
      <w:r>
        <w:rPr>
          <w:rFonts w:ascii="Aptos" w:hAnsi="Aptos"/>
          <w:b w:val="0"/>
          <w:i/>
          <w:color w:val="000000"/>
          <w:sz w:val="19"/>
        </w:rPr>
        <w:t>Clock A and Clock B target values are not a clean price-target bridge because the reporting perimeter, market date, share count, WACC and forecast evidence changed simultaneously. The professionally defensible comparison is between research decisions and assumptions, not a single unexplained target-price delta.</w:t>
      </w:r>
    </w:p>
    <w:p>
      <w:r>
        <w:br w:type="page"/>
      </w:r>
    </w:p>
    <w:p>
      <w:pPr>
        <w:pStyle w:val="Heading1"/>
        <w:keepNext/>
        <w:spacing w:before="160" w:after="80"/>
      </w:pPr>
      <w:r>
        <w:rPr>
          <w:rFonts w:ascii="Aptos Display" w:hAnsi="Aptos Display"/>
          <w:b/>
          <w:i w:val="0"/>
          <w:color w:val="000000"/>
          <w:sz w:val="30"/>
        </w:rPr>
        <w:t>Current evidence and operating forecast</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Evidence</w:t>
            </w:r>
          </w:p>
        </w:tc>
        <w:tc>
          <w:tcPr>
            <w:tcW w:type="dxa" w:w="15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Reading</w:t>
            </w:r>
          </w:p>
        </w:tc>
        <w:tc>
          <w:tcPr>
            <w:tcW w:type="dxa" w:w="12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Status</w:t>
            </w:r>
          </w:p>
        </w:tc>
        <w:tc>
          <w:tcPr>
            <w:tcW w:type="dxa" w:w="367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Model implication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8M revenue growth</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+13.5%</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E2F0D9"/>
          </w:tcPr>
          <w:p>
            <w:pPr>
              <w:spacing w:after="0" w:line="240" w:lineRule="auto"/>
            </w:pPr>
            <w:r>
              <w:rPr>
                <w:rFonts w:ascii="Aptos" w:hAnsi="Aptos"/>
                <w:b w:val="0"/>
                <w:i w:val="0"/>
                <w:color w:val="000000"/>
                <w:sz w:val="16"/>
              </w:rPr>
              <w:t>GREEN</w:t>
            </w:r>
          </w:p>
        </w:tc>
        <w:tc>
          <w:tcPr>
            <w:tcW w:type="dxa" w:w="3671"/>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Supports 2026 revenue anchor</w:t>
            </w:r>
          </w:p>
        </w:tc>
      </w:tr>
      <w:tr>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8M PBT growth</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+17.5%</w:t>
            </w:r>
          </w:p>
        </w:tc>
        <w:tc>
          <w:tcPr>
            <w:tcW w:type="dxa" w:w="1296"/>
            <w:shd w:fill="E2F0D9"/>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GREEN</w:t>
            </w:r>
          </w:p>
        </w:tc>
        <w:tc>
          <w:tcPr>
            <w:tcW w:type="dxa" w:w="3671"/>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Earnings outpace revenue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H1 EBIT margin</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14.8%</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E2F0D9"/>
          </w:tcPr>
          <w:p>
            <w:pPr>
              <w:spacing w:after="0" w:line="240" w:lineRule="auto"/>
            </w:pPr>
            <w:r>
              <w:rPr>
                <w:rFonts w:ascii="Aptos" w:hAnsi="Aptos"/>
                <w:b w:val="0"/>
                <w:i w:val="0"/>
                <w:color w:val="000000"/>
                <w:sz w:val="16"/>
              </w:rPr>
              <w:t>GREEN</w:t>
            </w:r>
          </w:p>
        </w:tc>
        <w:tc>
          <w:tcPr>
            <w:tcW w:type="dxa" w:w="3671"/>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Sets conservative starting margin</w:t>
            </w:r>
          </w:p>
        </w:tc>
      </w:tr>
      <w:tr>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H1 signed revenue</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+32.3%</w:t>
            </w:r>
          </w:p>
        </w:tc>
        <w:tc>
          <w:tcPr>
            <w:tcW w:type="dxa" w:w="1296"/>
            <w:shd w:fill="E2F0D9"/>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GREEN</w:t>
            </w:r>
          </w:p>
        </w:tc>
        <w:tc>
          <w:tcPr>
            <w:tcW w:type="dxa" w:w="3671"/>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Supports forward visibility</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Japan revenue</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+24.4%</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E2F0D9"/>
          </w:tcPr>
          <w:p>
            <w:pPr>
              <w:spacing w:after="0" w:line="240" w:lineRule="auto"/>
            </w:pPr>
            <w:r>
              <w:rPr>
                <w:rFonts w:ascii="Aptos" w:hAnsi="Aptos"/>
                <w:b w:val="0"/>
                <w:i w:val="0"/>
                <w:color w:val="000000"/>
                <w:sz w:val="16"/>
              </w:rPr>
              <w:t>GREEN</w:t>
            </w:r>
          </w:p>
        </w:tc>
        <w:tc>
          <w:tcPr>
            <w:tcW w:type="dxa" w:w="3671"/>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Leading market remains strong</w:t>
            </w:r>
          </w:p>
        </w:tc>
      </w:tr>
      <w:tr>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AI and data analytics</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+54.0%</w:t>
            </w:r>
          </w:p>
        </w:tc>
        <w:tc>
          <w:tcPr>
            <w:tcW w:type="dxa" w:w="1296"/>
            <w:shd w:fill="E2F0D9"/>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GREEN</w:t>
            </w:r>
          </w:p>
        </w:tc>
        <w:tc>
          <w:tcPr>
            <w:tcW w:type="dxa" w:w="3671"/>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Potential mix improvement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H1 OCF / parent PAT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-22.7%</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F4CCCC"/>
          </w:tcPr>
          <w:p>
            <w:pPr>
              <w:spacing w:after="0" w:line="240" w:lineRule="auto"/>
            </w:pPr>
            <w:r>
              <w:rPr>
                <w:rFonts w:ascii="Aptos" w:hAnsi="Aptos"/>
                <w:b w:val="0"/>
                <w:i w:val="0"/>
                <w:color w:val="000000"/>
                <w:sz w:val="16"/>
              </w:rPr>
              <w:t>RED</w:t>
            </w:r>
          </w:p>
        </w:tc>
        <w:tc>
          <w:tcPr>
            <w:tcW w:type="dxa" w:w="3671"/>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Main thesis-confirmation risk</w:t>
            </w:r>
          </w:p>
        </w:tc>
      </w:tr>
    </w:tbl>
    <w:p>
      <w:pPr>
        <w:jc w:val="center"/>
      </w:pPr>
      <w:r>
        <w:drawing>
          <wp:inline xmlns:a="http://schemas.openxmlformats.org/drawingml/2006/main" xmlns:pic="http://schemas.openxmlformats.org/drawingml/2006/picture">
            <wp:extent cx="6217920" cy="3039872"/>
            <wp:docPr id="2" name="Picture 2" descr="Line chart showing the Base revenue and free cash flow forecast for FPT from 2026 through 2031"/>
            <wp:cNvGraphicFramePr>
              <a:graphicFrameLocks noChangeAspect="1"/>
            </wp:cNvGraphicFramePr>
            <a:graphic>
              <a:graphicData uri="http://schemas.openxmlformats.org/drawingml/2006/picture">
                <pic:pic>
                  <pic:nvPicPr>
                    <pic:cNvPr id="0" name="clock_b_forecast.png"/>
                    <pic:cNvPicPr/>
                  </pic:nvPicPr>
                  <pic:blipFill>
                    <a:blip r:embed="rId12"/>
                    <a:stretch>
                      <a:fillRect/>
                    </a:stretch>
                  </pic:blipFill>
                  <pic:spPr>
                    <a:xfrm>
                      <a:off x="0" y="0"/>
                      <a:ext cx="6217920" cy="3039872"/>
                    </a:xfrm>
                    <a:prstGeom prst="rect"/>
                  </pic:spPr>
                </pic:pic>
              </a:graphicData>
            </a:graphic>
          </wp:inline>
        </w:drawing>
      </w:r>
    </w:p>
    <w:p>
      <w:pPr>
        <w:spacing w:after="80"/>
        <w:jc w:val="center"/>
      </w:pPr>
      <w:r>
        <w:rPr>
          <w:rFonts w:ascii="Aptos" w:hAnsi="Aptos"/>
          <w:b w:val="0"/>
          <w:i/>
          <w:color w:val="666666"/>
          <w:sz w:val="15"/>
        </w:rPr>
        <w:t>Figure 2  Base revenue and FCFF path</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Metric</w:t>
            </w:r>
          </w:p>
        </w:tc>
        <w:tc>
          <w:tcPr>
            <w:tcW w:type="dxa" w:w="11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2026E</w:t>
            </w:r>
          </w:p>
        </w:tc>
        <w:tc>
          <w:tcPr>
            <w:tcW w:type="dxa" w:w="11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2027E</w:t>
            </w:r>
          </w:p>
        </w:tc>
        <w:tc>
          <w:tcPr>
            <w:tcW w:type="dxa" w:w="11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2028E</w:t>
            </w:r>
          </w:p>
        </w:tc>
        <w:tc>
          <w:tcPr>
            <w:tcW w:type="dxa" w:w="11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2029E</w:t>
            </w:r>
          </w:p>
        </w:tc>
        <w:tc>
          <w:tcPr>
            <w:tcW w:type="dxa" w:w="11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2030E</w:t>
            </w:r>
          </w:p>
        </w:tc>
        <w:tc>
          <w:tcPr>
            <w:tcW w:type="dxa" w:w="11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2031E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Revenue VND bn</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53,112</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60,017</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67,219</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74,613</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82,074</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89,460</w:t>
            </w:r>
          </w:p>
        </w:tc>
      </w:tr>
      <w:tr>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EBIT margin</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14.8%</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15.1%</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15.5%</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15.8%</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16.1%</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16.3%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FCFF VND bn</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4,893</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6,549</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7,666</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8,811</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9,942</w:t>
            </w:r>
          </w:p>
        </w:tc>
        <w:tc>
          <w:tcPr>
            <w:tcW w:type="dxa" w:w="11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11,121</w:t>
            </w:r>
          </w:p>
        </w:tc>
      </w:tr>
      <w:tr>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EPS VND</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5,287</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5,999</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6,769</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7,535</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8,314</w:t>
            </w:r>
          </w:p>
        </w:tc>
        <w:tc>
          <w:tcPr>
            <w:tcW w:type="dxa" w:w="11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9,048</w:t>
            </w:r>
          </w:p>
        </w:tc>
      </w:tr>
    </w:tbl>
    <w:p>
      <w:r>
        <w:br w:type="page"/>
      </w:r>
    </w:p>
    <w:p>
      <w:pPr>
        <w:pStyle w:val="Heading1"/>
        <w:keepNext/>
        <w:spacing w:before="160" w:after="80"/>
      </w:pPr>
      <w:r>
        <w:rPr>
          <w:rFonts w:ascii="Aptos Display" w:hAnsi="Aptos Display"/>
          <w:b/>
          <w:i w:val="0"/>
          <w:color w:val="000000"/>
          <w:sz w:val="30"/>
        </w:rPr>
        <w:t>Base-case underwriting</w:t>
      </w:r>
    </w:p>
    <w:p>
      <w:pPr>
        <w:keepNext w:val="0"/>
        <w:spacing w:after="90" w:line="259" w:lineRule="auto"/>
      </w:pPr>
      <w:r>
        <w:rPr>
          <w:rFonts w:ascii="Aptos" w:hAnsi="Aptos"/>
          <w:b w:val="0"/>
          <w:i w:val="0"/>
          <w:color w:val="000000"/>
          <w:sz w:val="19"/>
        </w:rPr>
        <w:t>The forecast is driver-based and deliberately explicit about the cash-flow assumptions most likely to fail. Revenue decelerates, margin recovers gradually, and reinvestment normalises only after the 2026 working-capital shock.</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Driver</w:t>
            </w:r>
          </w:p>
        </w:tc>
        <w:tc>
          <w:tcPr>
            <w:tcW w:type="dxa" w:w="15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2026E</w:t>
            </w:r>
          </w:p>
        </w:tc>
        <w:tc>
          <w:tcPr>
            <w:tcW w:type="dxa" w:w="15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2031E</w:t>
            </w:r>
          </w:p>
        </w:tc>
        <w:tc>
          <w:tcPr>
            <w:tcW w:type="dxa" w:w="36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Underwriting logic</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Revenue growth</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13.5%</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9.0%</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8M actual anchor then gradual fade</w:t>
            </w:r>
          </w:p>
        </w:tc>
      </w:tr>
      <w:tr>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EBIT margin</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14.8%</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16.3%</w:t>
            </w:r>
          </w:p>
        </w:tc>
        <w:tc>
          <w:tcPr>
            <w:tcW w:type="dxa" w:w="36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Recovery below an abrupt snapback</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D&amp;A / revenue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3.2%</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3.0%</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Broadly stable asset intensity</w:t>
            </w:r>
          </w:p>
        </w:tc>
      </w:tr>
      <w:tr>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Capex / revenue</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5.2%</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4.5%</w:t>
            </w:r>
          </w:p>
        </w:tc>
        <w:tc>
          <w:tcPr>
            <w:tcW w:type="dxa" w:w="36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Normalises after growth investment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NWC / incremental revenue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15.0%</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5.0%</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Front-loads current cash risk</w:t>
            </w:r>
          </w:p>
        </w:tc>
      </w:tr>
      <w:tr>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Associate profit growth</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6.0%</w:t>
            </w:r>
          </w:p>
        </w:tc>
        <w:tc>
          <w:tcPr>
            <w:tcW w:type="dxa" w:w="36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10% in 2027, then fades</w:t>
            </w:r>
          </w:p>
        </w:tc>
      </w:tr>
    </w:tbl>
    <w:p>
      <w:pPr>
        <w:pStyle w:val="Heading2"/>
        <w:keepNext/>
        <w:spacing w:before="100" w:after="80"/>
      </w:pPr>
      <w:r>
        <w:rPr>
          <w:rFonts w:ascii="Aptos Display" w:hAnsi="Aptos Display"/>
          <w:b/>
          <w:i w:val="0"/>
          <w:color w:val="000000"/>
          <w:sz w:val="23"/>
        </w:rPr>
        <w:t>Forecast logic</w:t>
      </w:r>
    </w:p>
    <w:p>
      <w:pPr>
        <w:pStyle w:val="ListBullet"/>
        <w:spacing w:after="50" w:line="250" w:lineRule="auto"/>
      </w:pPr>
      <w:r>
        <w:rPr>
          <w:rFonts w:ascii="Aptos" w:hAnsi="Aptos"/>
          <w:b w:val="0"/>
          <w:i w:val="0"/>
          <w:color w:val="000000"/>
          <w:sz w:val="18"/>
        </w:rPr>
        <w:t>2026E revenue annualises official 8M revenue of VND35.4tn; 2026E margin uses H1 gross profit less selling and administration expense.</w:t>
      </w:r>
    </w:p>
    <w:p>
      <w:pPr>
        <w:pStyle w:val="ListBullet"/>
        <w:spacing w:after="50" w:line="250" w:lineRule="auto"/>
      </w:pPr>
      <w:r>
        <w:rPr>
          <w:rFonts w:ascii="Aptos" w:hAnsi="Aptos"/>
          <w:b w:val="0"/>
          <w:i w:val="0"/>
          <w:color w:val="000000"/>
          <w:sz w:val="18"/>
        </w:rPr>
        <w:t>FCFF equals EBIT after normalised tax plus D&amp;A, less capex and change in working capital.</w:t>
      </w:r>
    </w:p>
    <w:p>
      <w:pPr>
        <w:pStyle w:val="ListBullet"/>
        <w:spacing w:after="50" w:line="250" w:lineRule="auto"/>
      </w:pPr>
      <w:r>
        <w:rPr>
          <w:rFonts w:ascii="Aptos" w:hAnsi="Aptos"/>
          <w:b w:val="0"/>
          <w:i w:val="0"/>
          <w:color w:val="000000"/>
          <w:sz w:val="18"/>
        </w:rPr>
        <w:t>Associate and JV profit is forecast separately, then capitalised in the SOTP; it is not included in operating FCFF.</w:t>
      </w:r>
    </w:p>
    <w:p>
      <w:pPr>
        <w:pStyle w:val="ListBullet"/>
        <w:spacing w:after="50" w:line="250" w:lineRule="auto"/>
      </w:pPr>
      <w:r>
        <w:rPr>
          <w:rFonts w:ascii="Aptos" w:hAnsi="Aptos"/>
          <w:b w:val="0"/>
          <w:i w:val="0"/>
          <w:color w:val="000000"/>
          <w:sz w:val="18"/>
        </w:rPr>
        <w:t>Parent earnings include operating EBIT, associate profit and net financial income, then apply an 88% parent PAT-to-PBT conversion.</w:t>
      </w:r>
    </w:p>
    <w:p>
      <w:pPr>
        <w:pStyle w:val="Heading2"/>
        <w:keepNext/>
        <w:spacing w:before="100" w:after="80"/>
      </w:pPr>
      <w:r>
        <w:rPr>
          <w:rFonts w:ascii="Aptos Display" w:hAnsi="Aptos Display"/>
          <w:b/>
          <w:i w:val="0"/>
          <w:color w:val="000000"/>
          <w:sz w:val="23"/>
        </w:rPr>
        <w:t>Variant view versus market expectations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7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Question</w:t>
            </w:r>
          </w:p>
        </w:tc>
        <w:tc>
          <w:tcPr>
            <w:tcW w:type="dxa" w:w="33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Market reference</w:t>
            </w:r>
          </w:p>
        </w:tc>
        <w:tc>
          <w:tcPr>
            <w:tcW w:type="dxa" w:w="43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Clock B variant</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Growth</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Price decline implies sharper slowdown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Double-digit growth persists near term</w:t>
            </w:r>
          </w:p>
        </w:tc>
      </w:tr>
      <w:tr>
        <w:tc>
          <w:tcPr>
            <w:tcW w:type="dxa" w:w="187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Multiple</w:t>
            </w:r>
          </w:p>
        </w:tc>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10.9x trailing P/E</w:t>
            </w:r>
          </w:p>
        </w:tc>
        <w:tc>
          <w:tcPr>
            <w:tcW w:type="dxa" w:w="43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15.0x on 2027E EPS if evidence holds</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Cash</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Market may discount earnings quality</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No re-rating without FY2026 cash reversal</w:t>
            </w:r>
          </w:p>
        </w:tc>
      </w:tr>
      <w:tr>
        <w:tc>
          <w:tcPr>
            <w:tcW w:type="dxa" w:w="187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Accounting</w:t>
            </w:r>
          </w:p>
        </w:tc>
        <w:tc>
          <w:tcPr>
            <w:tcW w:type="dxa" w:w="33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New basis may obscure trend</w:t>
            </w:r>
          </w:p>
        </w:tc>
        <w:tc>
          <w:tcPr>
            <w:tcW w:type="dxa" w:w="43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Separate associate economics explicitly</w:t>
            </w:r>
          </w:p>
        </w:tc>
      </w:tr>
    </w:tbl>
    <w:p>
      <w:pPr>
        <w:pStyle w:val="Heading2"/>
        <w:keepNext/>
        <w:spacing w:before="100" w:after="80"/>
      </w:pPr>
      <w:r>
        <w:rPr>
          <w:rFonts w:ascii="Aptos Display" w:hAnsi="Aptos Display"/>
          <w:b/>
          <w:i w:val="0"/>
          <w:color w:val="000000"/>
          <w:sz w:val="23"/>
        </w:rPr>
        <w:t>Key analytical judgment</w:t>
      </w:r>
    </w:p>
    <w:p>
      <w:pPr>
        <w:keepNext w:val="0"/>
        <w:spacing w:after="90" w:line="259" w:lineRule="auto"/>
      </w:pPr>
      <w:r>
        <w:rPr>
          <w:rFonts w:ascii="Aptos" w:hAnsi="Aptos"/>
          <w:b w:val="0"/>
          <w:i/>
          <w:color w:val="000000"/>
          <w:sz w:val="20"/>
        </w:rPr>
        <w:t>The thesis does not require heroic top-line growth or a return to Clock A's multiple. It does require cash conversion to recover. That makes FY2026 working capital the pivotal evidence item, not a secondary modelling detail.</w:t>
      </w:r>
    </w:p>
    <w:p>
      <w:r>
        <w:br w:type="page"/>
      </w:r>
    </w:p>
    <w:p>
      <w:pPr>
        <w:pStyle w:val="Heading1"/>
        <w:keepNext/>
        <w:spacing w:before="160" w:after="80"/>
      </w:pPr>
      <w:r>
        <w:rPr>
          <w:rFonts w:ascii="Aptos Display" w:hAnsi="Aptos Display"/>
          <w:b/>
          <w:i w:val="0"/>
          <w:color w:val="000000"/>
          <w:sz w:val="30"/>
        </w:rPr>
        <w:t>Sum-of-parts valuation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43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Component</w:t>
            </w:r>
          </w:p>
        </w:tc>
        <w:tc>
          <w:tcPr>
            <w:tcW w:type="dxa" w:w="208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VND bn</w:t>
            </w:r>
          </w:p>
        </w:tc>
        <w:tc>
          <w:tcPr>
            <w:tcW w:type="dxa" w:w="30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Treatment</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PV explicit FCFF</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32,745.8</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2027E–2031E mid-year</w:t>
            </w:r>
          </w:p>
        </w:tc>
      </w:tr>
      <w:tr>
        <w:tc>
          <w:tcPr>
            <w:tcW w:type="dxa" w:w="43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PV terminal value</w:t>
            </w:r>
          </w:p>
        </w:tc>
        <w:tc>
          <w:tcPr>
            <w:tcW w:type="dxa" w:w="20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97,914.3</w:t>
            </w:r>
          </w:p>
        </w:tc>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31 December 2031 terminal</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Operating enterprise value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130,660.2</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Continuing operations</w:t>
            </w:r>
          </w:p>
        </w:tc>
      </w:tr>
      <w:tr>
        <w:tc>
          <w:tcPr>
            <w:tcW w:type="dxa" w:w="43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Capitalised associate earnings</w:t>
            </w:r>
          </w:p>
        </w:tc>
        <w:tc>
          <w:tcPr>
            <w:tcW w:type="dxa" w:w="20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43,840.7</w:t>
            </w:r>
          </w:p>
        </w:tc>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14.0x 2027E profit</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Cash</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8,843.2</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Add</w:t>
            </w:r>
          </w:p>
        </w:tc>
      </w:tr>
      <w:tr>
        <w:tc>
          <w:tcPr>
            <w:tcW w:type="dxa" w:w="43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Short-term investments</w:t>
            </w:r>
          </w:p>
        </w:tc>
        <w:tc>
          <w:tcPr>
            <w:tcW w:type="dxa" w:w="20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20,128.4</w:t>
            </w:r>
          </w:p>
        </w:tc>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Add</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Debt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(18,449.5)</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Subtract</w:t>
            </w:r>
          </w:p>
        </w:tc>
      </w:tr>
      <w:tr>
        <w:tc>
          <w:tcPr>
            <w:tcW w:type="dxa" w:w="43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Non-controlling interests</w:t>
            </w:r>
          </w:p>
        </w:tc>
        <w:tc>
          <w:tcPr>
            <w:tcW w:type="dxa" w:w="20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(1,144.2)</w:t>
            </w:r>
          </w:p>
        </w:tc>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Subtract</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Equity value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183,878.6</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Result</w:t>
            </w:r>
          </w:p>
        </w:tc>
      </w:tr>
      <w:tr>
        <w:tc>
          <w:tcPr>
            <w:tcW w:type="dxa" w:w="432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SOTP per share</w:t>
            </w:r>
          </w:p>
        </w:tc>
        <w:tc>
          <w:tcPr>
            <w:tcW w:type="dxa" w:w="208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97,511</w:t>
            </w:r>
          </w:p>
        </w:tc>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1,885.7m shares</w:t>
            </w:r>
          </w:p>
        </w:tc>
      </w:tr>
    </w:tbl>
    <w:p>
      <w:pPr>
        <w:pStyle w:val="Heading2"/>
        <w:keepNext/>
        <w:spacing w:before="100" w:after="80"/>
      </w:pPr>
      <w:r>
        <w:rPr>
          <w:rFonts w:ascii="Aptos Display" w:hAnsi="Aptos Display"/>
          <w:b/>
          <w:i w:val="0"/>
          <w:color w:val="000000"/>
          <w:sz w:val="23"/>
        </w:rPr>
        <w:t>Cost of capital</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16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Input</w:t>
            </w:r>
          </w:p>
        </w:tc>
        <w:tc>
          <w:tcPr>
            <w:tcW w:type="dxa" w:w="172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Base</w:t>
            </w:r>
          </w:p>
        </w:tc>
        <w:tc>
          <w:tcPr>
            <w:tcW w:type="dxa" w:w="460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6"/>
              </w:rPr>
              <w:t>Comment</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Risk-free rate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4.58%</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Vietnam 10-year yield</w:t>
            </w:r>
          </w:p>
        </w:tc>
      </w:tr>
      <w:tr>
        <w:tc>
          <w:tcPr>
            <w:tcW w:type="dxa" w:w="316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Equity risk premium</w:t>
            </w:r>
          </w:p>
        </w:tc>
        <w:tc>
          <w:tcPr>
            <w:tcW w:type="dxa" w:w="172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8.35%</w:t>
            </w:r>
          </w:p>
        </w:tc>
        <w:tc>
          <w:tcPr>
            <w:tcW w:type="dxa" w:w="460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Clock A comparable assumption</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Levered beta</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0.90x</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FPT-specific assumption</w:t>
            </w:r>
          </w:p>
        </w:tc>
      </w:tr>
      <w:tr>
        <w:tc>
          <w:tcPr>
            <w:tcW w:type="dxa" w:w="316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Pre-tax cost of debt</w:t>
            </w:r>
          </w:p>
        </w:tc>
        <w:tc>
          <w:tcPr>
            <w:tcW w:type="dxa" w:w="172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4.25%</w:t>
            </w:r>
          </w:p>
        </w:tc>
        <w:tc>
          <w:tcPr>
            <w:tcW w:type="dxa" w:w="460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H1 annualised interest / debt</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WACC</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10.89%</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Market-value weights</w:t>
            </w:r>
          </w:p>
        </w:tc>
      </w:tr>
      <w:tr>
        <w:tc>
          <w:tcPr>
            <w:tcW w:type="dxa" w:w="316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Terminal growth</w:t>
            </w:r>
          </w:p>
        </w:tc>
        <w:tc>
          <w:tcPr>
            <w:tcW w:type="dxa" w:w="172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6"/>
              </w:rPr>
              <w:t>4.00%</w:t>
            </w:r>
          </w:p>
        </w:tc>
        <w:tc>
          <w:tcPr>
            <w:tcW w:type="dxa" w:w="4608"/>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6"/>
              </w:rPr>
              <w:t>Below nominal long-run growth</w:t>
            </w:r>
          </w:p>
        </w:tc>
      </w:tr>
    </w:tbl>
    <w:p>
      <w:pPr>
        <w:pStyle w:val="Heading2"/>
        <w:keepNext/>
        <w:spacing w:before="100" w:after="80"/>
      </w:pPr>
      <w:r>
        <w:rPr>
          <w:rFonts w:ascii="Aptos Display" w:hAnsi="Aptos Display"/>
          <w:b/>
          <w:i w:val="0"/>
          <w:color w:val="000000"/>
          <w:sz w:val="23"/>
        </w:rPr>
        <w:t>Cross-check and weighting</w:t>
      </w:r>
    </w:p>
    <w:p>
      <w:pPr>
        <w:keepNext w:val="0"/>
        <w:spacing w:after="90" w:line="259" w:lineRule="auto"/>
      </w:pPr>
      <w:r>
        <w:rPr>
          <w:rFonts w:ascii="Aptos" w:hAnsi="Aptos"/>
          <w:b w:val="0"/>
          <w:i w:val="0"/>
          <w:color w:val="000000"/>
          <w:sz w:val="19"/>
        </w:rPr>
        <w:t>The P/E cross-check applies 15.0x to 2027E EPS of VND 5,999, producing VND 89,978. The decision value weights SOTP at 60% and P/E at 40%, producing VND 94,498. The weighting prevents either terminal-value duration or a single earnings multiple from dominating the conclusion.</w:t>
      </w:r>
    </w:p>
    <w:p>
      <w:r>
        <w:br w:type="page"/>
      </w:r>
    </w:p>
    <w:p>
      <w:pPr>
        <w:pStyle w:val="Heading1"/>
        <w:keepNext/>
        <w:spacing w:before="160" w:after="80"/>
      </w:pPr>
      <w:r>
        <w:rPr>
          <w:rFonts w:ascii="Aptos Display" w:hAnsi="Aptos Display"/>
          <w:b/>
          <w:i w:val="0"/>
          <w:color w:val="000000"/>
          <w:sz w:val="30"/>
        </w:rPr>
        <w:t>Scenario range and monitoring rules</w:t>
      </w:r>
    </w:p>
    <w:p>
      <w:pPr>
        <w:jc w:val="center"/>
      </w:pPr>
      <w:r>
        <w:drawing>
          <wp:inline xmlns:a="http://schemas.openxmlformats.org/drawingml/2006/main" xmlns:pic="http://schemas.openxmlformats.org/drawingml/2006/picture">
            <wp:extent cx="6172200" cy="2811780"/>
            <wp:docPr id="3" name="Picture 3" descr="Bar chart comparing Clock B Downside, Base and Upside blended fair values with the market price"/>
            <wp:cNvGraphicFramePr>
              <a:graphicFrameLocks noChangeAspect="1"/>
            </wp:cNvGraphicFramePr>
            <a:graphic>
              <a:graphicData uri="http://schemas.openxmlformats.org/drawingml/2006/picture">
                <pic:pic>
                  <pic:nvPicPr>
                    <pic:cNvPr id="0" name="clock_b_scenarios.png"/>
                    <pic:cNvPicPr/>
                  </pic:nvPicPr>
                  <pic:blipFill>
                    <a:blip r:embed="rId13"/>
                    <a:stretch>
                      <a:fillRect/>
                    </a:stretch>
                  </pic:blipFill>
                  <pic:spPr>
                    <a:xfrm>
                      <a:off x="0" y="0"/>
                      <a:ext cx="6172200" cy="2811780"/>
                    </a:xfrm>
                    <a:prstGeom prst="rect"/>
                  </pic:spPr>
                </pic:pic>
              </a:graphicData>
            </a:graphic>
          </wp:inline>
        </w:drawing>
      </w:r>
    </w:p>
    <w:p>
      <w:pPr>
        <w:spacing w:after="80"/>
        <w:jc w:val="center"/>
      </w:pPr>
      <w:r>
        <w:rPr>
          <w:rFonts w:ascii="Aptos" w:hAnsi="Aptos"/>
          <w:b w:val="0"/>
          <w:i/>
          <w:color w:val="666666"/>
          <w:sz w:val="15"/>
        </w:rPr>
        <w:t>Figure 3  Blended value across operating and valuation scenarios</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5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Case</w:t>
            </w:r>
          </w:p>
        </w:tc>
        <w:tc>
          <w:tcPr>
            <w:tcW w:type="dxa" w:w="12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WACC</w:t>
            </w:r>
          </w:p>
        </w:tc>
        <w:tc>
          <w:tcPr>
            <w:tcW w:type="dxa" w:w="10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g</w:t>
            </w:r>
          </w:p>
        </w:tc>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Associate P/E</w:t>
            </w:r>
          </w:p>
        </w:tc>
        <w:tc>
          <w:tcPr>
            <w:tcW w:type="dxa" w:w="187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Cross-check P/E</w:t>
            </w:r>
          </w:p>
        </w:tc>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Blended value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Downside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11.89%</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3.0%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11.0x</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12.0x</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VND 62,635</w:t>
            </w:r>
          </w:p>
        </w:tc>
      </w:tr>
      <w:tr>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Base</w:t>
            </w:r>
          </w:p>
        </w:tc>
        <w:tc>
          <w:tcPr>
            <w:tcW w:type="dxa" w:w="122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10.89%</w:t>
            </w:r>
          </w:p>
        </w:tc>
        <w:tc>
          <w:tcPr>
            <w:tcW w:type="dxa" w:w="10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4.0%</w:t>
            </w:r>
          </w:p>
        </w:tc>
        <w:tc>
          <w:tcPr>
            <w:tcW w:type="dxa" w:w="180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14.0x</w:t>
            </w:r>
          </w:p>
        </w:tc>
        <w:tc>
          <w:tcPr>
            <w:tcW w:type="dxa" w:w="187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15.0x</w:t>
            </w:r>
          </w:p>
        </w:tc>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VND 94,498</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Upside</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10.14%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4.5%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17.0x</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18.0x</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VND 128,650</w:t>
            </w:r>
          </w:p>
        </w:tc>
      </w:tr>
    </w:tbl>
    <w:p>
      <w:pPr>
        <w:pStyle w:val="Heading2"/>
        <w:keepNext/>
        <w:spacing w:before="100" w:after="80"/>
      </w:pPr>
      <w:r>
        <w:rPr>
          <w:rFonts w:ascii="Aptos Display" w:hAnsi="Aptos Display"/>
          <w:b/>
          <w:i w:val="0"/>
          <w:color w:val="000000"/>
          <w:sz w:val="23"/>
        </w:rPr>
        <w:t>Live monitor</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30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Indicator</w:t>
            </w:r>
          </w:p>
        </w:tc>
        <w:tc>
          <w:tcPr>
            <w:tcW w:type="dxa" w:w="15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Actual</w:t>
            </w:r>
          </w:p>
        </w:tc>
        <w:tc>
          <w:tcPr>
            <w:tcW w:type="dxa" w:w="15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Green</w:t>
            </w:r>
          </w:p>
        </w:tc>
        <w:tc>
          <w:tcPr>
            <w:tcW w:type="dxa" w:w="15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Red</w:t>
            </w:r>
          </w:p>
        </w:tc>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Status</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8M revenue growth</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13.5%</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&gt;=13.0%</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&lt;10.0%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E2F0D9"/>
          </w:tcPr>
          <w:p>
            <w:pPr>
              <w:spacing w:after="0" w:line="240" w:lineRule="auto"/>
              <w:jc w:val="right"/>
            </w:pPr>
            <w:r>
              <w:rPr>
                <w:rFonts w:ascii="Aptos" w:hAnsi="Aptos"/>
                <w:b w:val="0"/>
                <w:i w:val="0"/>
                <w:color w:val="000000"/>
                <w:sz w:val="15"/>
              </w:rPr>
              <w:t>GREEN</w:t>
            </w:r>
          </w:p>
        </w:tc>
      </w:tr>
      <w:tr>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8M PBT growth</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17.5%</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&gt;=17.0%</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&lt;12.0%</w:t>
            </w:r>
          </w:p>
        </w:tc>
        <w:tc>
          <w:tcPr>
            <w:tcW w:type="dxa" w:w="1440"/>
            <w:shd w:fill="E2F0D9"/>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GREEN</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H1 EBIT margin</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14.8%</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&gt;=14.7%</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&lt;14.0%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E2F0D9"/>
          </w:tcPr>
          <w:p>
            <w:pPr>
              <w:spacing w:after="0" w:line="240" w:lineRule="auto"/>
              <w:jc w:val="right"/>
            </w:pPr>
            <w:r>
              <w:rPr>
                <w:rFonts w:ascii="Aptos" w:hAnsi="Aptos"/>
                <w:b w:val="0"/>
                <w:i w:val="0"/>
                <w:color w:val="000000"/>
                <w:sz w:val="15"/>
              </w:rPr>
              <w:t>GREEN</w:t>
            </w:r>
          </w:p>
        </w:tc>
      </w:tr>
      <w:tr>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H1 OCF / parent PAT</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-22.7%</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&gt;=70.0%</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&lt;30.0%</w:t>
            </w:r>
          </w:p>
        </w:tc>
        <w:tc>
          <w:tcPr>
            <w:tcW w:type="dxa" w:w="1440"/>
            <w:shd w:fill="F4CCCC"/>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RED</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H1 capex / revenue</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5.1%</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&lt;=5.5%</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&gt;6.5%</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shd w:fill="E2F0D9"/>
          </w:tcPr>
          <w:p>
            <w:pPr>
              <w:spacing w:after="0" w:line="240" w:lineRule="auto"/>
              <w:jc w:val="right"/>
            </w:pPr>
            <w:r>
              <w:rPr>
                <w:rFonts w:ascii="Aptos" w:hAnsi="Aptos"/>
                <w:b w:val="0"/>
                <w:i w:val="0"/>
                <w:color w:val="000000"/>
                <w:sz w:val="15"/>
              </w:rPr>
              <w:t>GREEN</w:t>
            </w:r>
          </w:p>
        </w:tc>
      </w:tr>
      <w:tr>
        <w:tc>
          <w:tcPr>
            <w:tcW w:type="dxa" w:w="309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Accounting basis</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Equity method</w:t>
            </w:r>
          </w:p>
        </w:tc>
        <w:tc>
          <w:tcPr>
            <w:tcW w:type="dxa" w:w="158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Reconciled</w:t>
            </w:r>
          </w:p>
        </w:tc>
        <w:tc>
          <w:tcPr>
            <w:tcW w:type="dxa" w:w="151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Unreconciled</w:t>
            </w:r>
          </w:p>
        </w:tc>
        <w:tc>
          <w:tcPr>
            <w:tcW w:type="dxa" w:w="1440"/>
            <w:shd w:fill="FCE4D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jc w:val="right"/>
            </w:pPr>
            <w:r>
              <w:rPr>
                <w:rFonts w:ascii="Aptos" w:hAnsi="Aptos"/>
                <w:b w:val="0"/>
                <w:i w:val="0"/>
                <w:color w:val="000000"/>
                <w:sz w:val="15"/>
              </w:rPr>
              <w:t>AMBER</w:t>
            </w:r>
          </w:p>
        </w:tc>
      </w:tr>
    </w:tbl>
    <w:p>
      <w:pPr>
        <w:pStyle w:val="Heading2"/>
        <w:keepNext/>
        <w:spacing w:before="100" w:after="80"/>
      </w:pPr>
      <w:r>
        <w:rPr>
          <w:rFonts w:ascii="Aptos Display" w:hAnsi="Aptos Display"/>
          <w:b/>
          <w:i w:val="0"/>
          <w:color w:val="000000"/>
          <w:sz w:val="23"/>
        </w:rPr>
        <w:t>Escalation rules</w:t>
      </w:r>
    </w:p>
    <w:p>
      <w:pPr>
        <w:pStyle w:val="ListBullet"/>
        <w:spacing w:after="50" w:line="250" w:lineRule="auto"/>
      </w:pPr>
      <w:r>
        <w:rPr>
          <w:rFonts w:ascii="Aptos" w:hAnsi="Aptos"/>
          <w:b w:val="0"/>
          <w:i w:val="0"/>
          <w:color w:val="000000"/>
          <w:sz w:val="18"/>
        </w:rPr>
        <w:t>Keep Base while revenue growth, EBIT margin and signed revenue remain at or above green thresholds.</w:t>
      </w:r>
    </w:p>
    <w:p>
      <w:pPr>
        <w:pStyle w:val="ListBullet"/>
        <w:spacing w:after="50" w:line="250" w:lineRule="auto"/>
      </w:pPr>
      <w:r>
        <w:rPr>
          <w:rFonts w:ascii="Aptos" w:hAnsi="Aptos"/>
          <w:b w:val="0"/>
          <w:i w:val="0"/>
          <w:color w:val="000000"/>
          <w:sz w:val="18"/>
        </w:rPr>
        <w:t>Re-underwrite if revenue growth falls below 10%, EBIT margin falls below 14%, or capex exceeds 6.5% of revenue.</w:t>
      </w:r>
    </w:p>
    <w:p>
      <w:pPr>
        <w:pStyle w:val="ListBullet"/>
        <w:spacing w:after="50" w:line="250" w:lineRule="auto"/>
      </w:pPr>
      <w:r>
        <w:rPr>
          <w:rFonts w:ascii="Aptos" w:hAnsi="Aptos"/>
          <w:b w:val="0"/>
          <w:i w:val="0"/>
          <w:color w:val="000000"/>
          <w:sz w:val="18"/>
        </w:rPr>
        <w:t>Reduce or exit if two or more live indicators are red or if refreshed blended value loses its required margin of safety.</w:t>
      </w:r>
    </w:p>
    <w:p>
      <w:pPr>
        <w:pStyle w:val="ListBullet"/>
        <w:spacing w:after="50" w:line="250" w:lineRule="auto"/>
      </w:pPr>
      <w:r>
        <w:rPr>
          <w:rFonts w:ascii="Aptos" w:hAnsi="Aptos"/>
          <w:b w:val="0"/>
          <w:i w:val="0"/>
          <w:color w:val="000000"/>
          <w:sz w:val="18"/>
        </w:rPr>
        <w:t>Do not add to the position before FY2026 operating cash flow shows a substantial second-half reversal.</w:t>
      </w:r>
    </w:p>
    <w:p>
      <w:r>
        <w:br w:type="page"/>
      </w:r>
    </w:p>
    <w:p>
      <w:pPr>
        <w:pStyle w:val="Heading1"/>
        <w:keepNext/>
        <w:spacing w:before="160" w:after="80"/>
      </w:pPr>
      <w:r>
        <w:rPr>
          <w:rFonts w:ascii="Aptos Display" w:hAnsi="Aptos Display"/>
          <w:b/>
          <w:i w:val="0"/>
          <w:color w:val="000000"/>
          <w:sz w:val="30"/>
        </w:rPr>
        <w:t>Risks, next evidence and source basis</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Risk</w:t>
            </w:r>
          </w:p>
        </w:tc>
        <w:tc>
          <w:tcPr>
            <w:tcW w:type="dxa" w:w="237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Transmission</w:t>
            </w:r>
          </w:p>
        </w:tc>
        <w:tc>
          <w:tcPr>
            <w:tcW w:type="dxa" w:w="28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Evidence</w:t>
            </w:r>
          </w:p>
        </w:tc>
        <w:tc>
          <w:tcPr>
            <w:tcW w:type="dxa" w:w="223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i w:val="0"/>
                <w:color w:val="FFFFFF"/>
                <w:sz w:val="15"/>
              </w:rPr>
              <w:t>Model response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Cash conversion</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FCFF below earnings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OCF, receivables, payables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Raise NWC intensity</w:t>
            </w:r>
          </w:p>
        </w:tc>
      </w:tr>
      <w:tr>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Margin execution</w:t>
            </w:r>
          </w:p>
        </w:tc>
        <w:tc>
          <w:tcPr>
            <w:tcW w:type="dxa" w:w="237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Lower NOPAT and EPS</w:t>
            </w:r>
          </w:p>
        </w:tc>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Segment margins and utilization</w:t>
            </w:r>
          </w:p>
        </w:tc>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Cut recovery path</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Demand</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Lower revenue CAGR</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Signed revenue conversion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Reduce growth</w:t>
            </w:r>
          </w:p>
        </w:tc>
      </w:tr>
      <w:tr>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Capital intensity</w:t>
            </w:r>
          </w:p>
        </w:tc>
        <w:tc>
          <w:tcPr>
            <w:tcW w:type="dxa" w:w="237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Lower near-term FCFF</w:t>
            </w:r>
          </w:p>
        </w:tc>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Maintenance vs growth capex</w:t>
            </w:r>
          </w:p>
        </w:tc>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Raise capex ratio</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Accounting basis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False trend comparisons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Common-basis disclosure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Maintain SOTP separation</w:t>
            </w:r>
          </w:p>
        </w:tc>
      </w:tr>
      <w:tr>
        <w:tc>
          <w:tcPr>
            <w:tcW w:type="dxa" w:w="1944"/>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Valuation duration</w:t>
            </w:r>
          </w:p>
        </w:tc>
        <w:tc>
          <w:tcPr>
            <w:tcW w:type="dxa" w:w="2376"/>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Sensitivity to WACC and g</w:t>
            </w:r>
          </w:p>
        </w:tc>
        <w:tc>
          <w:tcPr>
            <w:tcW w:type="dxa" w:w="2880"/>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Terminal-value share</w:t>
            </w:r>
          </w:p>
        </w:tc>
        <w:tc>
          <w:tcPr>
            <w:tcW w:type="dxa" w:w="2232"/>
            <w:shd w:fill="EDF4FA"/>
            <w:vAlign w:val="center"/>
            <w:tcBorders>
              <w:top w:val="single" w:sz="6" w:color="D9D9D9"/>
              <w:left w:val="single" w:sz="6" w:color="D9D9D9"/>
              <w:bottom w:val="single" w:sz="6" w:color="D9D9D9"/>
              <w:right w:val="single" w:sz="6" w:color="D9D9D9"/>
              <w:insideH w:val="single" w:sz="6" w:color="D9D9D9"/>
              <w:insideV w:val="single" w:sz="6" w:color="D9D9D9"/>
            </w:tcBorders>
            <w:tcMar>
              <w:top w:w="95" w:type="dxa"/>
              <w:start w:w="115" w:type="dxa"/>
              <w:bottom w:w="95" w:type="dxa"/>
              <w:end w:w="115" w:type="dxa"/>
            </w:tcMar>
          </w:tcPr>
          <w:p>
            <w:pPr>
              <w:spacing w:after="0" w:line="240" w:lineRule="auto"/>
            </w:pPr>
            <w:r>
              <w:rPr>
                <w:rFonts w:ascii="Aptos" w:hAnsi="Aptos"/>
                <w:b w:val="0"/>
                <w:i w:val="0"/>
                <w:color w:val="000000"/>
                <w:sz w:val="15"/>
              </w:rPr>
              <w:t>Require wider margin of safety</w:t>
            </w:r>
          </w:p>
        </w:tc>
      </w:tr>
    </w:tbl>
    <w:p>
      <w:pPr>
        <w:pStyle w:val="Heading2"/>
        <w:keepNext/>
        <w:spacing w:before="100" w:after="80"/>
      </w:pPr>
      <w:r>
        <w:rPr>
          <w:rFonts w:ascii="Aptos Display" w:hAnsi="Aptos Display"/>
          <w:b/>
          <w:i w:val="0"/>
          <w:color w:val="000000"/>
          <w:sz w:val="23"/>
        </w:rPr>
        <w:t>Evidence required next</w:t>
      </w:r>
    </w:p>
    <w:p>
      <w:pPr>
        <w:pStyle w:val="ListBullet"/>
        <w:spacing w:after="50" w:line="250" w:lineRule="auto"/>
      </w:pPr>
      <w:r>
        <w:rPr>
          <w:rFonts w:ascii="Aptos" w:hAnsi="Aptos"/>
          <w:b w:val="0"/>
          <w:i w:val="0"/>
          <w:color w:val="000000"/>
          <w:sz w:val="18"/>
        </w:rPr>
        <w:t>FY2026 operating cash flow and the receivables, payables and deferred-expense bridge.</w:t>
      </w:r>
    </w:p>
    <w:p>
      <w:pPr>
        <w:pStyle w:val="ListBullet"/>
        <w:spacing w:after="50" w:line="250" w:lineRule="auto"/>
      </w:pPr>
      <w:r>
        <w:rPr>
          <w:rFonts w:ascii="Aptos" w:hAnsi="Aptos"/>
          <w:b w:val="0"/>
          <w:i w:val="0"/>
          <w:color w:val="000000"/>
          <w:sz w:val="18"/>
        </w:rPr>
        <w:t>FY2026 capex split between maintenance and growth projects.</w:t>
      </w:r>
    </w:p>
    <w:p>
      <w:pPr>
        <w:pStyle w:val="ListBullet"/>
        <w:spacing w:after="50" w:line="250" w:lineRule="auto"/>
      </w:pPr>
      <w:r>
        <w:rPr>
          <w:rFonts w:ascii="Aptos" w:hAnsi="Aptos"/>
          <w:b w:val="0"/>
          <w:i w:val="0"/>
          <w:color w:val="000000"/>
          <w:sz w:val="18"/>
        </w:rPr>
        <w:t>FPT Telecom revenue and profit contribution under the equity method.</w:t>
      </w:r>
    </w:p>
    <w:p>
      <w:pPr>
        <w:pStyle w:val="ListBullet"/>
        <w:spacing w:after="50" w:line="250" w:lineRule="auto"/>
      </w:pPr>
      <w:r>
        <w:rPr>
          <w:rFonts w:ascii="Aptos" w:hAnsi="Aptos"/>
          <w:b w:val="0"/>
          <w:i w:val="0"/>
          <w:color w:val="000000"/>
          <w:sz w:val="18"/>
        </w:rPr>
        <w:t>Conversion of H1 signed revenue into recognised Global IT revenue.</w:t>
      </w:r>
    </w:p>
    <w:p>
      <w:pPr>
        <w:pStyle w:val="ListBullet"/>
        <w:spacing w:after="50" w:line="250" w:lineRule="auto"/>
      </w:pPr>
      <w:r>
        <w:rPr>
          <w:rFonts w:ascii="Aptos" w:hAnsi="Aptos"/>
          <w:b w:val="0"/>
          <w:i w:val="0"/>
          <w:color w:val="000000"/>
          <w:sz w:val="18"/>
        </w:rPr>
        <w:t>Margin progression in Japan, domestic IT and AI-related work.</w:t>
      </w:r>
    </w:p>
    <w:p>
      <w:pPr>
        <w:pStyle w:val="Heading2"/>
        <w:keepNext/>
        <w:spacing w:before="100" w:after="80"/>
      </w:pPr>
      <w:r>
        <w:rPr>
          <w:rFonts w:ascii="Aptos Display" w:hAnsi="Aptos Display"/>
          <w:b/>
          <w:i w:val="0"/>
          <w:color w:val="000000"/>
          <w:sz w:val="23"/>
        </w:rPr>
        <w:t>Primary sources</w:t>
      </w:r>
    </w:p>
    <w:p>
      <w:pPr>
        <w:keepNext w:val="0"/>
        <w:spacing w:after="90" w:line="259" w:lineRule="auto"/>
      </w:pPr>
      <w:r>
        <w:rPr>
          <w:rFonts w:ascii="Aptos" w:hAnsi="Aptos"/>
          <w:b w:val="0"/>
          <w:i w:val="0"/>
          <w:color w:val="000000"/>
          <w:sz w:val="15"/>
        </w:rPr>
        <w:t>FPT information disclosures  https://fpt.com/en/ir/information-disclosures</w:t>
      </w:r>
    </w:p>
    <w:p>
      <w:pPr>
        <w:keepNext w:val="0"/>
        <w:spacing w:after="90" w:line="259" w:lineRule="auto"/>
      </w:pPr>
      <w:r>
        <w:rPr>
          <w:rFonts w:ascii="Aptos" w:hAnsi="Aptos"/>
          <w:b w:val="0"/>
          <w:i w:val="0"/>
          <w:color w:val="000000"/>
          <w:sz w:val="15"/>
        </w:rPr>
        <w:t>FPT H1 2026 results  https://fpt.com/vi/tin-tuc/6-thang-dau-nam-2026-loi-nhuan-truoc-thue-cua-fpt-tang-truong-18-1</w:t>
      </w:r>
    </w:p>
    <w:p>
      <w:pPr>
        <w:keepNext w:val="0"/>
        <w:spacing w:after="90" w:line="259" w:lineRule="auto"/>
      </w:pPr>
      <w:r>
        <w:rPr>
          <w:rFonts w:ascii="Aptos" w:hAnsi="Aptos"/>
          <w:b w:val="0"/>
          <w:i w:val="0"/>
          <w:color w:val="000000"/>
          <w:sz w:val="15"/>
        </w:rPr>
        <w:t>FPT 8M2026 operating update  https://fpt.com/en/news/minister-of-science-and-technology-trust-and-credibility-have-driven-fpt-s-success-in-japan</w:t>
      </w:r>
    </w:p>
    <w:p>
      <w:pPr>
        <w:keepNext w:val="0"/>
        <w:spacing w:after="90" w:line="259" w:lineRule="auto"/>
      </w:pPr>
      <w:r>
        <w:rPr>
          <w:rFonts w:ascii="Aptos" w:hAnsi="Aptos"/>
          <w:b w:val="0"/>
          <w:i w:val="0"/>
          <w:color w:val="000000"/>
          <w:sz w:val="15"/>
        </w:rPr>
        <w:t>Vietnam 10-year yield history  https://www.investing.com/rates-bonds/vietnam-10-year-bond-yield-historical-data</w:t>
      </w:r>
    </w:p>
    <w:p>
      <w:pPr>
        <w:keepNext w:val="0"/>
        <w:spacing w:after="90" w:line="259" w:lineRule="auto"/>
      </w:pPr>
      <w:r>
        <w:rPr>
          <w:rFonts w:ascii="Aptos" w:hAnsi="Aptos"/>
          <w:b w:val="0"/>
          <w:i w:val="0"/>
          <w:color w:val="000000"/>
          <w:sz w:val="15"/>
        </w:rPr>
        <w:t>Market snapshot  https://taichinh.com/chung-khoan/fpt</w:t>
      </w:r>
    </w:p>
    <w:p>
      <w:pPr>
        <w:pStyle w:val="Heading2"/>
        <w:keepNext/>
        <w:spacing w:before="100" w:after="80"/>
      </w:pPr>
      <w:r>
        <w:rPr>
          <w:rFonts w:ascii="Aptos Display" w:hAnsi="Aptos Display"/>
          <w:b/>
          <w:i w:val="0"/>
          <w:color w:val="000000"/>
          <w:sz w:val="23"/>
        </w:rPr>
        <w:t>Analyst statement</w:t>
      </w:r>
    </w:p>
    <w:p>
      <w:pPr>
        <w:keepNext w:val="0"/>
        <w:spacing w:after="90" w:line="259" w:lineRule="auto"/>
      </w:pPr>
      <w:r>
        <w:rPr>
          <w:rFonts w:ascii="Aptos" w:hAnsi="Aptos"/>
          <w:b w:val="0"/>
          <w:i/>
          <w:color w:val="000000"/>
          <w:sz w:val="17"/>
        </w:rPr>
        <w:t>The valuation is a point-in-time analytical output, not a promise of realised value. Public facts, model assumptions and decision rules are separated throughout the workbook and reproducible Python implementation. Clock A remains frozen for backtest integrity; Clock B is the current view as of 9 October 2026.</w:t>
      </w:r>
    </w:p>
    <w:sectPr>
      <w:headerReference w:type="default" r:id="rId9"/>
      <w:footerReference w:type="default" r:id="rId10"/>
      <w:pgSz w:w="12240" w:h="15840"/>
      <w:pgMar w:top="950"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5"/>
      </w:rPr>
      <w:t xml:space="preserve">Independent portfolio case study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66666"/>
        <w:sz w:val="16"/>
      </w:rPr>
      <w:t>FPT Corporation  Clock B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 Corporation Equity Research Update Clock B</dc:title>
  <dc:subject>Live 2026 sum-of-parts valuation and thesis monitor</dc:subject>
  <dc:creator/>
  <cp:keywords>FPT, equity research, sum of parts, DCF, thesis monitor</cp:keywords>
  <dc:description>generated by python-docx</dc:description>
  <cp:lastModifiedBy/>
  <cp:revision>1</cp:revision>
  <dcterms:created xsi:type="dcterms:W3CDTF">2013-12-23T23:15:00Z</dcterms:created>
  <dcterms:modified xsi:type="dcterms:W3CDTF">2013-12-23T23:15:00Z</dcterms:modified>
  <cp:category/>
</cp:coreProperties>
</file>