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-english-para-a-submissão"/>
    <w:p>
      <w:pPr>
        <w:pStyle w:val="Heading1"/>
      </w:pPr>
      <w:r>
        <w:t xml:space="preserve">Abstract (English) — para a submissão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in suspected stable coronary disease of low or intermediate pretest probability,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channel after regulation SAES/MS 3,695/2026, and a threshold analysis (catheterization change required for neutrality) in two PICOs (first line; gatekeeping), with differences from ten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pre-catheterization gatekeeping the sign reverses: differences of 66–86/100 and neutrality at R$ 482–625 (R$ 841–868 with revascularization). Of 315 facilities with ≥64-channel scanners (432, a floor), 79 add catheterization laboratories and documented coronary procedures;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that records do not identify and that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2026-08-22T22:49:53Z</dcterms:created>
  <dcterms:modified xsi:type="dcterms:W3CDTF">2026-08-22T22:49:53Z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