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(depósito público com DOI na publicação);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</w:t>
            </w:r>
            <w:r>
              <w:t xml:space="preserve"> </w:t>
            </w:r>
            <w:r>
              <w:t xml:space="preserve">“em quem o teste diagnóstico adicional pode ser diferido”</w:t>
            </w:r>
            <w:r>
              <w:t xml:space="preserve"> </w:t>
            </w:r>
            <w:r>
              <w:t xml:space="preserve">(classe 1 B-NR); no baixo risco, escore de cálcio (2a B-R) ou teste ergométrico sem imagem (2a B-NR) como primeira linha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induzido; insumos cujo custo oscila com a oferta — o desabastecimento de betabloqueador injetável em 2026 é o exemplo corrente — e que o preço proposto de R$ 550 não declara embutir)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Sem desconto: os Δ de cateterismo têm janelas de 90 dias a 18 meses; o cenário aditivo usa a revascularização do SCOT-HEART a 20 meses e 5 anos sem desconto, com magnitude pequena (+0,6/100) e efeito do desconto desprezível, declarado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S1, S2, S3, S4 e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2026-08-24T22:05:29Z</dcterms:created>
  <dcterms:modified xsi:type="dcterms:W3CDTF">2026-08-24T22:05:29Z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