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-english-para-a-submissão"/>
    <w:p>
      <w:pPr>
        <w:pStyle w:val="Heading1"/>
      </w:pPr>
      <w:r>
        <w:t xml:space="preserve">Abstract (English) — para a submissão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Brazil’s Conitec preliminarily recommended against coronary computed tomography angiography (CCTA) as a first-line test in suspected stable coronary disease of low or intermediate pretest probability, citing capacity and budget uncertainties. The missing question is</w:t>
      </w:r>
      <w:r>
        <w:t xml:space="preserve"> </w:t>
      </w:r>
      <w:r>
        <w:rPr>
          <w:i/>
          <w:iCs/>
        </w:rPr>
        <w:t xml:space="preserve">where</w:t>
      </w:r>
      <w:r>
        <w:t xml:space="preserve">, not only</w:t>
      </w:r>
      <w:r>
        <w:t xml:space="preserve"> </w:t>
      </w:r>
      <w:r>
        <w:rPr>
          <w:i/>
          <w:iCs/>
        </w:rPr>
        <w:t xml:space="preserve">whether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To characterize the CCTA-compatible scanner capacity of the Unified Health System (SUS) and the pathway positions in which CCTA is budget-sustainable.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Nationwide analysis of public databases: capacity by channel after regulation SAES/MS 3,695/2026, and a threshold analysis (catheterization change required for neutrality) in two PICOs (first line; gatekeeping), with differences from ten trials and one meta-analysis, with and without revascularization.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aggregate first-line PICO, the evaluated prices exceed neutrality: the displaced test is mostly exercise ECG (76% of 787,954 episodes/year; R$ 32) and the best observed difference (+4.1/100) does not cover R$ 550; in the intermediate stratum, only substituting perfusion scintigraphy brings R$ 550 into the uncertainty zone (R$ 458–560 with revascularization). In pre-catheterization gatekeeping the sign reverses: differences of 66–86/100 and neutrality at R$ 482–625 (R$ 841–868 with revascularization). Of 315 facilities with ≥64-channel scanners (432, a floor), 79 add catheterization laboratories and documented coronary procedures; twelve states have none.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Budget sustainability is a property of pathway position and displaced test, not of price: parameters that records do not identify and that a protocol defines. The economic evidence does not support a uniform decision for the low-or-intermediate range; it supports conditioning incorporation on positioning and displaced test, as the 2025 SBC Chronic Coronary Syndrome Guideline stratifies, and assessing gatekeeping separately.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 Angiography; Coronary Artery Disease; Technology Assessment, Biomedical; Costs and Cost Analysis; Unified Health System.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2026-08-22T19:23:51Z</dcterms:created>
  <dcterms:modified xsi:type="dcterms:W3CDTF">2026-08-22T19:23:51Z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