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(depósito público com DOI na publicação);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 em quem o teste adicional pode ser diferido; no baixo risco, escore de cálcio ou teste ergométrico sem imagem como primeira linha (classe 2a)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Sem desconto: os Δ de cateterismo têm janelas de 90 dias a 18 meses; o cenário aditivo usa a revascularização do SCOT-HEART a 20 meses e 5 anos sem desconto, com magnitude pequena (+0,6/100) e efeito do desconto desprezível, declarado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S1, S2, S3, S4 e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2026-08-22T19:23:51Z</dcterms:created>
  <dcterms:modified xsi:type="dcterms:W3CDTF">2026-08-22T19:23:51Z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