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suspeita de doença coronariana estável com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cadastro para caracterizar a capacidade compatível com angioTC e uma análise de limiar para determinar, por posição no percurso e estrato de probabilidade pré-teste, a que preço a tecnologia é neutra, com dados públicos e método reproduzível.</w:t>
      </w:r>
    </w:p>
    <w:bookmarkEnd w:id="10"/>
    <w:bookmarkStart w:id="11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Acesso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hemodinâmica no mesmo estabelecimento e, além dela, produção coronariana invasiva registrada no SIH em 2025 (Tabela S2). A distribuição foi medida por densidade por milhão e a desigualdade por coeficiente de variação 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estimam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dos microdados versionados e recusa cobertura parcial. Código e dados serão depositados em repositório público com DOI na publicação; até lá, disponíveis aos revisores.</w:t>
      </w:r>
    </w:p>
    <w:bookmarkEnd w:id="11"/>
    <w:bookmarkStart w:id="16" w:name="resultados"/>
    <w:p>
      <w:pPr>
        <w:pStyle w:val="Heading2"/>
      </w:pPr>
      <w:r>
        <w:t xml:space="preserve">Resultados</w:t>
      </w:r>
    </w:p>
    <w:bookmarkStart w:id="12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315, 79 reúnem, além do hardware,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desigual: 2,02 equipamentos ≥64 canais por milhão de habitantes; Amapá, Piauí e Tocantins não têm nenhum, e doze UFs não têm estabelecimento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2"/>
    <w:bookmarkStart w:id="13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Volume e gasto moram em exames diferentes: o teste ergométrico responde por 76% dos episódios e 13% do gasto (R$ 32 cada); a cintilografia de perfusão, por 19% e 82%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3"/>
    <w:bookmarkStart w:id="14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4"/>
    <w:bookmarkStart w:id="15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eficiência diagnóstica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consistentemente: o ganho de adequação da indicação é o benefício mais robusto no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5"/>
    <w:bookmarkEnd w:id="16"/>
    <w:bookmarkStart w:id="23" w:name="discussão"/>
    <w:p>
      <w:pPr>
        <w:pStyle w:val="Heading2"/>
      </w:pPr>
      <w:r>
        <w:t xml:space="preserve">Discussão</w:t>
      </w:r>
    </w:p>
    <w:bookmarkStart w:id="17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7"/>
    <w:bookmarkStart w:id="18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requerida.</w:t>
      </w:r>
    </w:p>
    <w:bookmarkEnd w:id="18"/>
    <w:bookmarkStart w:id="19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Os 236 estabelecimentos com ≥64 canais sem hemodinâmica são onde uma angioTC negativa evita a referência e o deslocamento do paciente; para o filtro, o estrato de 79 é conservador, não teto. Com doze UFs sem estabelecimento pronto, incorporar sem estratégia regional consolidaria a desigualdade.</w:t>
      </w:r>
    </w:p>
    <w:bookmarkEnd w:id="19"/>
    <w:bookmarkStart w:id="20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com comparador majoritariamente cintilográfico,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outra pergunta (benefício clínico no tempo), não contraditória;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mais recente e mais presente no debate público, que estima economia de R$ 1.021 por beneficiário em cinco anos numa carteira de 100.000 vidas. Compara a angioTC (R$ 1.311,95) com a angiografia invasiva inicial (R$ 1.900,79, único comparador), com eventos do DISCHARGE, e declara não ter comparado com testes funcionais: é um modelo do filtro,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 é por beneficiário, não por paciente examinado; as projeções de dezenas de bilhões veiculadas na imprensa não constam do artigo, que as qualifica como teóricas para a saúde suplementar.</w:t>
      </w:r>
      <w:r>
        <w:rPr>
          <w:vertAlign w:val="superscript"/>
        </w:rPr>
        <w:t xml:space="preserve">28</w:t>
      </w:r>
    </w:p>
    <w:bookmarkEnd w:id="20"/>
    <w:bookmarkStart w:id="21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estimativa. A probabilidade pré-teste não está nos registros, logo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prevenção. O débito de revascularização entra como custo sem modelar o alívio de angina que a acompanha. Contraindicações relativas (doença renal, contraste, frequência, calcificação) reduzem a população elegível; complicações, permanência, exames não diagnósticos, achados incidentais e o deslocamento evitado por angioTC negativa feita na origem (a favor do filtro) não foram quantificados. O preço proposto não declara o que embute em contraste, nitrato, betabloqueador e insumos de infusão, cujo custo oscila com a oferta.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1"/>
    <w:bookmarkStart w:id="22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angioTC, mas quais pacientes a recebem primeiro e o que ela substitui.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também: as OCI de síndrome coronariana crônica remuneram por episódio e nomeiam o exame de cada progressão. Uma progressão anatômica, em alternativa à progressão II (cintilografia, R$ 840), incorporaria a substituição no próprio código. O protocolo deve excluir o assintomático,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angioTC e comparadores. Quarto, completar a reclassificação do CNES antes da apreciação final e implantar a partir do estrato pronto, com estratégia regional para as doze UFs sem estabelecimento.</w:t>
      </w:r>
    </w:p>
    <w:bookmarkEnd w:id="22"/>
    <w:bookmarkEnd w:id="23"/>
    <w:bookmarkStart w:id="24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 e nenhum preço plausível a torna neutra. Com protocolo, é expansiva na probabilidade baixa, incerta na intermediária quando substitui a cintilografia (e apenas ela), e tem espaço como filtro antes de uma cinecoronariografia já indicada. Essa estratificação já está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4"/>
    <w:bookmarkStart w:id="25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tomográfica compatível com angioTC por UF (CNES 06/2026): equipamentos ≥64 canais por milhão, estrato pronto, UFs sem ≥64 canais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5"/>
    <w:bookmarkStart w:id="26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 in Scotland.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PBD, Magliano CADS,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IBSDS, Suarez AB, Silva MTD,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desfechos econômicos: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Ramos RB, Marques H,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(with or without functional evaluation)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 (indisponível em 24 ago 2026).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2026-08-24T22:04:55Z</dcterms:created>
  <dcterms:modified xsi:type="dcterms:W3CDTF">2026-08-24T22:04:55Z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