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terial-suplementar"/>
    <w:p>
      <w:pPr>
        <w:pStyle w:val="Heading1"/>
      </w:pPr>
      <w:r>
        <w:t xml:space="preserve">Material suplementar</w:t>
      </w:r>
    </w:p>
    <w:p>
      <w:pPr>
        <w:pStyle w:val="FirstParagraph"/>
      </w:pPr>
      <w:r>
        <w:rPr>
          <w:b/>
          <w:bCs/>
        </w:rPr>
        <w:t xml:space="preserve">Onde a angiotomografia coronariana gera valor no Sistema Único de Saúde? Capacidade instalada, limiar orçamentário e o caso do filtro pré-cateterismo</w:t>
      </w:r>
      <w:r>
        <w:t xml:space="preserve"> </w:t>
      </w:r>
      <w:r>
        <w:t xml:space="preserve">— material suplementar (v1.3.1, 19/08/2026). Todos os números são reproduzidos por</w:t>
      </w:r>
      <w:r>
        <w:t xml:space="preserve"> </w:t>
      </w:r>
      <w:r>
        <w:rPr>
          <w:rStyle w:val="VerbatimChar"/>
        </w:rPr>
        <w:t xml:space="preserve">analise_final.py</w:t>
      </w:r>
      <w:r>
        <w:t xml:space="preserve"> </w:t>
      </w:r>
      <w:r>
        <w:t xml:space="preserve">a partir dos microdados versionados no repositório (depósito público com DOI na publicação); a contribuição técnica à Consulta Pública Conitec nº 73/2026 (</w:t>
      </w:r>
      <w:r>
        <w:rPr>
          <w:rStyle w:val="VerbatimChar"/>
        </w:rPr>
        <w:t xml:space="preserve">contribuicao-cp73.pdf</w:t>
      </w:r>
      <w:r>
        <w:t xml:space="preserve">) contém a versão extensa das seções 2–4.</w:t>
      </w:r>
    </w:p>
    <w:bookmarkStart w:id="9" w:name="Xe635c6426450d9002ec9c8ad895f4056bcd229c"/>
    <w:p>
      <w:pPr>
        <w:pStyle w:val="Heading2"/>
      </w:pPr>
      <w:r>
        <w:t xml:space="preserve">Tabela S1 — Fontes de dados, endereços e competências; e Tabela S2 — códigos SIGTAP e CNES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Endereço</w:t>
            </w:r>
          </w:p>
        </w:tc>
        <w:tc>
          <w:tcPr/>
          <w:p>
            <w:pPr>
              <w:pStyle w:val="Compact"/>
            </w:pPr>
            <w:r>
              <w:t xml:space="preserve">Competência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CNES — equipamentos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ftp://ftp.datasus.gov.br/dissemin/publicos/CNES/200508_/Dados/EQ/</w:t>
            </w:r>
          </w:p>
        </w:tc>
        <w:tc>
          <w:tcPr/>
          <w:p>
            <w:pPr>
              <w:pStyle w:val="Compact"/>
            </w:pPr>
            <w:r>
              <w:t xml:space="preserve">06/2026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SIA/SUS — produção ambulatorial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.../SIASUS/200801_/Dados/</w:t>
            </w:r>
          </w:p>
        </w:tc>
        <w:tc>
          <w:tcPr/>
          <w:p>
            <w:pPr>
              <w:pStyle w:val="Compact"/>
            </w:pPr>
            <w:r>
              <w:t xml:space="preserve">01–12/2025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SIH/SUS — internações (RD)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.../SIHSUS/200801_/Dados/</w:t>
            </w:r>
          </w:p>
        </w:tc>
        <w:tc>
          <w:tcPr/>
          <w:p>
            <w:pPr>
              <w:pStyle w:val="Compact"/>
            </w:pPr>
            <w:r>
              <w:t xml:space="preserve">01–12/2025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ftp://ftp2.datasus.gov.br/public/sistemas/tup/downloads/</w:t>
            </w:r>
          </w:p>
        </w:tc>
        <w:tc>
          <w:tcPr/>
          <w:p>
            <w:pPr>
              <w:pStyle w:val="Compact"/>
            </w:pPr>
            <w:r>
              <w:t xml:space="preserve">08/2026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População</w:t>
            </w:r>
          </w:p>
        </w:tc>
        <w:tc>
          <w:tcPr/>
          <w:p>
            <w:pPr>
              <w:pStyle w:val="Compact"/>
            </w:pPr>
            <w:r>
              <w:t xml:space="preserve">IBGE, agregado 6579, variável 9324, período 2025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IPCA (número-índice)</w:t>
            </w:r>
          </w:p>
        </w:tc>
        <w:tc>
          <w:tcPr/>
          <w:p>
            <w:pPr>
              <w:pStyle w:val="Compact"/>
            </w:pPr>
            <w:r>
              <w:t xml:space="preserve">IBGE, agregado 1737, variável 2266</w:t>
            </w:r>
          </w:p>
        </w:tc>
        <w:tc>
          <w:tcPr/>
          <w:p>
            <w:pPr>
              <w:pStyle w:val="Compact"/>
            </w:pPr>
            <w:r>
              <w:t xml:space="preserve">12/2020 → 07/2026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Portaria SAES/MS nº 3.695</w:t>
            </w:r>
          </w:p>
        </w:tc>
        <w:tc>
          <w:tcPr/>
          <w:p>
            <w:pPr>
              <w:pStyle w:val="Compact"/>
            </w:pPr>
            <w:r>
              <w:t xml:space="preserve">DOU nº 18, 27/01/2026, Seção 1, p. 89–90; republicação 18/05/2026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Códigos SIGTAP utilizados.</w:t>
      </w:r>
      <w:r>
        <w:t xml:space="preserve"> </w:t>
      </w:r>
      <w:r>
        <w:t xml:space="preserve">Investigação funcional:</w:t>
      </w:r>
      <w:r>
        <w:t xml:space="preserve"> </w:t>
      </w:r>
      <w:r>
        <w:rPr>
          <w:rStyle w:val="VerbatimChar"/>
        </w:rPr>
        <w:t xml:space="preserve">0211020060</w:t>
      </w:r>
      <w:r>
        <w:t xml:space="preserve">,</w:t>
      </w:r>
      <w:r>
        <w:t xml:space="preserve"> </w:t>
      </w:r>
      <w:r>
        <w:rPr>
          <w:rStyle w:val="VerbatimChar"/>
        </w:rPr>
        <w:t xml:space="preserve">0205010016</w:t>
      </w:r>
      <w:r>
        <w:t xml:space="preserve">,</w:t>
      </w:r>
      <w:r>
        <w:t xml:space="preserve"> </w:t>
      </w:r>
      <w:r>
        <w:rPr>
          <w:rStyle w:val="VerbatimChar"/>
        </w:rPr>
        <w:t xml:space="preserve">0208010025</w:t>
      </w:r>
      <w:r>
        <w:t xml:space="preserve">,</w:t>
      </w:r>
      <w:r>
        <w:t xml:space="preserve"> </w:t>
      </w:r>
      <w:r>
        <w:rPr>
          <w:rStyle w:val="VerbatimChar"/>
        </w:rPr>
        <w:t xml:space="preserve">0208010033</w:t>
      </w:r>
      <w:r>
        <w:t xml:space="preserve">,</w:t>
      </w:r>
      <w:r>
        <w:t xml:space="preserve"> </w:t>
      </w:r>
      <w:r>
        <w:rPr>
          <w:rStyle w:val="VerbatimChar"/>
        </w:rPr>
        <w:t xml:space="preserve">0208010076</w:t>
      </w:r>
      <w:r>
        <w:t xml:space="preserve">. Cateterismo:</w:t>
      </w:r>
      <w:r>
        <w:t xml:space="preserve"> </w:t>
      </w:r>
      <w:r>
        <w:rPr>
          <w:rStyle w:val="VerbatimChar"/>
        </w:rPr>
        <w:t xml:space="preserve">0211020010</w:t>
      </w:r>
      <w:r>
        <w:t xml:space="preserve">. OCI de SCC:</w:t>
      </w:r>
      <w:r>
        <w:t xml:space="preserve"> </w:t>
      </w:r>
      <w:r>
        <w:rPr>
          <w:rStyle w:val="VerbatimChar"/>
        </w:rPr>
        <w:t xml:space="preserve">0902010034</w:t>
      </w:r>
      <w:r>
        <w:t xml:space="preserve">,</w:t>
      </w:r>
      <w:r>
        <w:t xml:space="preserve"> </w:t>
      </w:r>
      <w:r>
        <w:rPr>
          <w:rStyle w:val="VerbatimChar"/>
        </w:rPr>
        <w:t xml:space="preserve">0902010042</w:t>
      </w:r>
      <w:r>
        <w:t xml:space="preserve">,</w:t>
      </w:r>
      <w:r>
        <w:t xml:space="preserve"> </w:t>
      </w:r>
      <w:r>
        <w:rPr>
          <w:rStyle w:val="VerbatimChar"/>
        </w:rPr>
        <w:t xml:space="preserve">0902010050</w:t>
      </w:r>
      <w:r>
        <w:t xml:space="preserve">. Angioplastia coronariana (SIH):</w:t>
      </w:r>
      <w:r>
        <w:t xml:space="preserve"> </w:t>
      </w:r>
      <w:r>
        <w:rPr>
          <w:rStyle w:val="VerbatimChar"/>
        </w:rPr>
        <w:t xml:space="preserve">0406030014</w:t>
      </w:r>
      <w:r>
        <w:t xml:space="preserve">,</w:t>
      </w:r>
      <w:r>
        <w:t xml:space="preserve"> </w:t>
      </w:r>
      <w:r>
        <w:rPr>
          <w:rStyle w:val="VerbatimChar"/>
        </w:rPr>
        <w:t xml:space="preserve">0406030022</w:t>
      </w:r>
      <w:r>
        <w:t xml:space="preserve">,</w:t>
      </w:r>
      <w:r>
        <w:t xml:space="preserve"> </w:t>
      </w:r>
      <w:r>
        <w:rPr>
          <w:rStyle w:val="VerbatimChar"/>
        </w:rPr>
        <w:t xml:space="preserve">0406030030</w:t>
      </w:r>
      <w:r>
        <w:t xml:space="preserve">,</w:t>
      </w:r>
      <w:r>
        <w:t xml:space="preserve"> </w:t>
      </w:r>
      <w:r>
        <w:rPr>
          <w:rStyle w:val="VerbatimChar"/>
        </w:rPr>
        <w:t xml:space="preserve">0406030049</w:t>
      </w:r>
      <w:r>
        <w:t xml:space="preserve">,</w:t>
      </w:r>
      <w:r>
        <w:t xml:space="preserve"> </w:t>
      </w:r>
      <w:r>
        <w:rPr>
          <w:rStyle w:val="VerbatimChar"/>
        </w:rPr>
        <w:t xml:space="preserve">0406030065</w:t>
      </w:r>
      <w:r>
        <w:t xml:space="preserve">,</w:t>
      </w:r>
      <w:r>
        <w:t xml:space="preserve"> </w:t>
      </w:r>
      <w:r>
        <w:rPr>
          <w:rStyle w:val="VerbatimChar"/>
        </w:rPr>
        <w:t xml:space="preserve">0406030073</w:t>
      </w:r>
      <w:r>
        <w:t xml:space="preserve">. Revascularização miocárdica (SIH):</w:t>
      </w:r>
      <w:r>
        <w:t xml:space="preserve"> </w:t>
      </w:r>
      <w:r>
        <w:rPr>
          <w:rStyle w:val="VerbatimChar"/>
        </w:rPr>
        <w:t xml:space="preserve">0406010927</w:t>
      </w:r>
      <w:r>
        <w:t xml:space="preserve">,</w:t>
      </w:r>
      <w:r>
        <w:t xml:space="preserve"> </w:t>
      </w:r>
      <w:r>
        <w:rPr>
          <w:rStyle w:val="VerbatimChar"/>
        </w:rPr>
        <w:t xml:space="preserve">0406010935</w:t>
      </w:r>
      <w:r>
        <w:t xml:space="preserve">,</w:t>
      </w:r>
      <w:r>
        <w:t xml:space="preserve"> </w:t>
      </w:r>
      <w:r>
        <w:rPr>
          <w:rStyle w:val="VerbatimChar"/>
        </w:rPr>
        <w:t xml:space="preserve">0406010943</w:t>
      </w:r>
      <w:r>
        <w:t xml:space="preserve">,</w:t>
      </w:r>
      <w:r>
        <w:t xml:space="preserve"> </w:t>
      </w:r>
      <w:r>
        <w:rPr>
          <w:rStyle w:val="VerbatimChar"/>
        </w:rPr>
        <w:t xml:space="preserve">0406010951</w:t>
      </w:r>
      <w:r>
        <w:t xml:space="preserve">. Tomografia (proxy de carga): grupo</w:t>
      </w:r>
      <w:r>
        <w:t xml:space="preserve"> </w:t>
      </w:r>
      <w:r>
        <w:rPr>
          <w:rStyle w:val="VerbatimChar"/>
        </w:rPr>
        <w:t xml:space="preserve">0206</w:t>
      </w:r>
      <w:r>
        <w:t xml:space="preserve"> </w:t>
      </w:r>
      <w:r>
        <w:t xml:space="preserve">exceto</w:t>
      </w:r>
      <w:r>
        <w:t xml:space="preserve"> </w:t>
      </w:r>
      <w:r>
        <w:rPr>
          <w:rStyle w:val="VerbatimChar"/>
        </w:rPr>
        <w:t xml:space="preserve">0206010095</w:t>
      </w:r>
      <w:r>
        <w:t xml:space="preserve"> </w:t>
      </w:r>
      <w:r>
        <w:t xml:space="preserve">(PET-CT). CNES:</w:t>
      </w:r>
      <w:r>
        <w:t xml:space="preserve"> </w:t>
      </w:r>
      <w:r>
        <w:rPr>
          <w:rStyle w:val="VerbatimChar"/>
        </w:rPr>
        <w:t xml:space="preserve">TIPEQUIP=01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CODEQUIP</w:t>
      </w:r>
      <w:r>
        <w:t xml:space="preserve"> </w:t>
      </w:r>
      <w:r>
        <w:t xml:space="preserve">10 (hemodinâmica), 11 e 26–30 (tomógrafos).</w:t>
      </w:r>
    </w:p>
    <w:p>
      <w:pPr>
        <w:pStyle w:val="BodyText"/>
      </w:pPr>
      <w:r>
        <w:rPr>
          <w:b/>
          <w:bCs/>
        </w:rPr>
        <w:t xml:space="preserve">Advertência sobre tabelas de conversão.</w:t>
      </w:r>
      <w:r>
        <w:t xml:space="preserve"> </w:t>
      </w:r>
      <w:r>
        <w:t xml:space="preserve">As tabelas</w:t>
      </w:r>
      <w:r>
        <w:t xml:space="preserve"> </w:t>
      </w:r>
      <w:r>
        <w:rPr>
          <w:rStyle w:val="VerbatimChar"/>
        </w:rPr>
        <w:t xml:space="preserve">.cnv</w:t>
      </w:r>
      <w:r>
        <w:t xml:space="preserve"> </w:t>
      </w:r>
      <w:r>
        <w:t xml:space="preserve">distribuídas em</w:t>
      </w:r>
      <w:r>
        <w:t xml:space="preserve"> </w:t>
      </w:r>
      <w:r>
        <w:rPr>
          <w:rStyle w:val="VerbatimChar"/>
        </w:rPr>
        <w:t xml:space="preserve">CNES/200508_/Auxiliar/TAB_CNES.zip</w:t>
      </w:r>
      <w:r>
        <w:t xml:space="preserve"> </w:t>
      </w:r>
      <w:r>
        <w:t xml:space="preserve">(07/2026) listam apenas o código</w:t>
      </w:r>
      <w:r>
        <w:t xml:space="preserve"> </w:t>
      </w:r>
      <w:r>
        <w:rPr>
          <w:rStyle w:val="VerbatimChar"/>
        </w:rPr>
        <w:t xml:space="preserve">0111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refletem o desmembramento por canais</w:t>
      </w:r>
      <w:r>
        <w:t xml:space="preserve">, embora os códigos 26–30 estejam nos arquivos de dados. Análises que derivem a lista de códigos dessas tabelas excluirão silenciosamente todo equipamento reclassificado.</w:t>
      </w:r>
    </w:p>
    <w:p>
      <w:pPr>
        <w:pStyle w:val="BodyText"/>
      </w:pPr>
      <w:r>
        <w:rPr>
          <w:b/>
          <w:bCs/>
        </w:rPr>
        <w:t xml:space="preserve">Nota de processamento.</w:t>
      </w:r>
      <w:r>
        <w:t xml:space="preserve"> </w:t>
      </w:r>
      <w:r>
        <w:t xml:space="preserve">Arquivos SIA de MG, RJ, RS e SP são particionados (</w:t>
      </w:r>
      <w:r>
        <w:rPr>
          <w:rStyle w:val="VerbatimChar"/>
        </w:rPr>
        <w:t xml:space="preserve">PASP2501a.dbc</w:t>
      </w:r>
      <w:r>
        <w:t xml:space="preserve">,</w:t>
      </w:r>
      <w:r>
        <w:t xml:space="preserve"> </w:t>
      </w:r>
      <w:r>
        <w:rPr>
          <w:rStyle w:val="VerbatimChar"/>
        </w:rPr>
        <w:t xml:space="preserve">…b</w:t>
      </w:r>
      <w:r>
        <w:t xml:space="preserve">,</w:t>
      </w:r>
      <w:r>
        <w:t xml:space="preserve"> </w:t>
      </w:r>
      <w:r>
        <w:rPr>
          <w:rStyle w:val="VerbatimChar"/>
        </w:rPr>
        <w:t xml:space="preserve">…c</w:t>
      </w:r>
      <w:r>
        <w:t xml:space="preserve">,</w:t>
      </w:r>
      <w:r>
        <w:t xml:space="preserve"> </w:t>
      </w:r>
      <w:r>
        <w:rPr>
          <w:rStyle w:val="VerbatimChar"/>
        </w:rPr>
        <w:t xml:space="preserve">…d</w:t>
      </w:r>
      <w:r>
        <w:t xml:space="preserve">). Rotinas que constroem nomes sem sufixo perdem silenciosamente 71 dos 395 arquivos do ano. O código enumera o diretório remoto, verifica presença das 27 UFs e distingue falha de download de arquivo vazio. Total processado:</w:t>
      </w:r>
      <w:r>
        <w:t xml:space="preserve"> </w:t>
      </w:r>
      <w:r>
        <w:rPr>
          <w:b/>
          <w:bCs/>
        </w:rPr>
        <w:t xml:space="preserve">395/395 SIA e 324/324 SIH, sem perdas</w:t>
      </w:r>
      <w:r>
        <w:t xml:space="preserve">.</w:t>
      </w:r>
    </w:p>
    <w:p>
      <w:pPr>
        <w:pStyle w:val="BodyText"/>
      </w:pPr>
      <w:r>
        <w:t xml:space="preserve">Leitura de</w:t>
      </w:r>
      <w:r>
        <w:t xml:space="preserve"> </w:t>
      </w:r>
      <w:r>
        <w:rPr>
          <w:rStyle w:val="VerbatimChar"/>
        </w:rPr>
        <w:t xml:space="preserve">.dbc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datasus-dbc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dbfread</w:t>
      </w:r>
      <w:r>
        <w:t xml:space="preserve"> </w:t>
      </w:r>
      <w:r>
        <w:t xml:space="preserve">(Python). Regras de análise fixadas antes da extração das OCI:</w:t>
      </w:r>
      <w:r>
        <w:t xml:space="preserve"> </w:t>
      </w:r>
      <w:r>
        <w:rPr>
          <w:rStyle w:val="VerbatimChar"/>
        </w:rPr>
        <w:t xml:space="preserve">REGRAS-DE-ANALISE.md</w:t>
      </w:r>
      <w:r>
        <w:t xml:space="preserve">. Scripts, dados intermediários e tabelas: [inserir DOI/URL do repositório antes de submeter].</w:t>
      </w:r>
    </w:p>
    <w:p>
      <w:r>
        <w:pict>
          <v:rect style="width:0;height:1.5pt" o:hralign="center" o:hrstd="t" o:hr="t"/>
        </w:pict>
      </w:r>
    </w:p>
    <w:bookmarkEnd w:id="9"/>
    <w:bookmarkStart w:id="10" w:name="X67a5f1cadd7b05fab40c8fef71d93eec0f87529"/>
    <w:p>
      <w:pPr>
        <w:pStyle w:val="Heading2"/>
      </w:pPr>
      <w:r>
        <w:t xml:space="preserve">Tabela S3 — Δ de cateterismo total por 100 pacientes necessário para neutralidade, por preço da angioTC e por exame substituído (só exames e cateterismo)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Preço da angioTC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adoção aditiva</w:t>
            </w:r>
          </w:p>
        </w:tc>
        <w:tc>
          <w:tcPr/>
          <w:p>
            <w:pPr>
              <w:pStyle w:val="Compact"/>
            </w:pPr>
            <w:r>
              <w:t xml:space="preserve">mix SIA</w:t>
            </w:r>
          </w:p>
        </w:tc>
        <w:tc>
          <w:tcPr/>
          <w:p>
            <w:pPr>
              <w:pStyle w:val="Compact"/>
            </w:pPr>
            <w:r>
              <w:t xml:space="preserve">NATS publicado</w:t>
            </w:r>
          </w:p>
        </w:tc>
        <w:tc>
          <w:tcPr/>
          <w:p>
            <w:pPr>
              <w:pStyle w:val="Compact"/>
            </w:pPr>
            <w:r>
              <w:t xml:space="preserve">NATS por episódio</w:t>
            </w:r>
          </w:p>
        </w:tc>
        <w:tc>
          <w:tcPr/>
          <w:p>
            <w:pPr>
              <w:pStyle w:val="Compact"/>
            </w:pPr>
            <w:r>
              <w:t xml:space="preserve">eco de estresse</w:t>
            </w:r>
          </w:p>
        </w:tc>
        <w:tc>
          <w:tcPr/>
          <w:p>
            <w:pPr>
              <w:pStyle w:val="Compact"/>
            </w:pPr>
            <w:r>
              <w:t xml:space="preserve">cintilografia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R$ 196,41</w:t>
            </w:r>
          </w:p>
        </w:tc>
        <w:tc>
          <w:tcPr/>
          <w:p>
            <w:pPr>
              <w:pStyle w:val="Compact"/>
            </w:pPr>
            <w:r>
              <w:t xml:space="preserve">TC tórax + contraste, proxy SIGTAP</w:t>
            </w:r>
          </w:p>
        </w:tc>
        <w:tc>
          <w:tcPr/>
          <w:p>
            <w:pPr>
              <w:pStyle w:val="Compact"/>
            </w:pPr>
            <w:r>
              <w:t xml:space="preserve">26,9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já neutro</w:t>
            </w:r>
          </w:p>
        </w:tc>
        <w:tc>
          <w:tcPr/>
          <w:p>
            <w:pPr>
              <w:pStyle w:val="Compact"/>
            </w:pPr>
            <w:r>
              <w:t xml:space="preserve">já neutro</w:t>
            </w:r>
          </w:p>
        </w:tc>
        <w:tc>
          <w:tcPr/>
          <w:p>
            <w:pPr>
              <w:pStyle w:val="Compac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já neutro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R$ 550,00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proposto pelo demandante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75,3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49,9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31,9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48,4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já neutro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R$ 622,54</w:t>
            </w:r>
          </w:p>
        </w:tc>
        <w:tc>
          <w:tcPr/>
          <w:p>
            <w:pPr>
              <w:pStyle w:val="Compact"/>
            </w:pPr>
            <w:r>
              <w:t xml:space="preserve">microcusteio 2022 (Carmo et al.) corrigido a jul/2026 (IPCA 12/2020→07/2026, ×1,3771; ano-base não explicitado no artigo, 12/2020 é o limite otimista)</w:t>
            </w:r>
          </w:p>
        </w:tc>
        <w:tc>
          <w:tcPr/>
          <w:p>
            <w:pPr>
              <w:pStyle w:val="Compact"/>
            </w:pPr>
            <w:r>
              <w:t xml:space="preserve">85,3</w:t>
            </w:r>
          </w:p>
        </w:tc>
        <w:tc>
          <w:tcPr/>
          <w:p>
            <w:pPr>
              <w:pStyle w:val="Compact"/>
            </w:pPr>
            <w:r>
              <w:t xml:space="preserve">59,9</w:t>
            </w:r>
          </w:p>
        </w:tc>
        <w:tc>
          <w:tcPr/>
          <w:p>
            <w:pPr>
              <w:pStyle w:val="Compact"/>
            </w:pPr>
            <w:r>
              <w:t xml:space="preserve">41,9</w:t>
            </w:r>
          </w:p>
        </w:tc>
        <w:tc>
          <w:tcPr/>
          <w:p>
            <w:pPr>
              <w:pStyle w:val="Compact"/>
            </w:pPr>
            <w:r>
              <w:t xml:space="preserve">13,5</w:t>
            </w:r>
          </w:p>
        </w:tc>
        <w:tc>
          <w:tcPr/>
          <w:p>
            <w:pPr>
              <w:pStyle w:val="Compact"/>
            </w:pPr>
            <w:r>
              <w:t xml:space="preserve">58,4</w:t>
            </w:r>
          </w:p>
        </w:tc>
        <w:tc>
          <w:tcPr/>
          <w:p>
            <w:pPr>
              <w:pStyle w:val="Compact"/>
            </w:pPr>
            <w:r>
              <w:t xml:space="preserve">já neutro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R$ 1.311,95</w:t>
            </w:r>
          </w:p>
        </w:tc>
        <w:tc>
          <w:tcPr/>
          <w:p>
            <w:pPr>
              <w:pStyle w:val="Compact"/>
            </w:pPr>
            <w:r>
              <w:t xml:space="preserve">saúde suplementar (Shiozaki et al. 2025: referência ANS, 100% CBHPM)</w:t>
            </w:r>
          </w:p>
        </w:tc>
        <w:tc>
          <w:tcPr/>
          <w:p>
            <w:pPr>
              <w:pStyle w:val="Compact"/>
            </w:pPr>
            <w:r>
              <w:t xml:space="preserve">179,7</w:t>
            </w:r>
          </w:p>
        </w:tc>
        <w:tc>
          <w:tcPr/>
          <w:p>
            <w:pPr>
              <w:pStyle w:val="Compact"/>
            </w:pPr>
            <w:r>
              <w:t xml:space="preserve">154,3</w:t>
            </w:r>
          </w:p>
        </w:tc>
        <w:tc>
          <w:tcPr/>
          <w:p>
            <w:pPr>
              <w:pStyle w:val="Compact"/>
            </w:pPr>
            <w:r>
              <w:t xml:space="preserve">136,3</w:t>
            </w:r>
          </w:p>
        </w:tc>
        <w:tc>
          <w:tcPr/>
          <w:p>
            <w:pPr>
              <w:pStyle w:val="Compact"/>
            </w:pPr>
            <w:r>
              <w:t xml:space="preserve">107,9</w:t>
            </w:r>
          </w:p>
        </w:tc>
        <w:tc>
          <w:tcPr/>
          <w:p>
            <w:pPr>
              <w:pStyle w:val="Compact"/>
            </w:pPr>
            <w:r>
              <w:t xml:space="preserve">152,8</w:t>
            </w:r>
          </w:p>
        </w:tc>
        <w:tc>
          <w:tcPr/>
          <w:p>
            <w:pPr>
              <w:pStyle w:val="Compact"/>
            </w:pPr>
            <w:r>
              <w:t xml:space="preserve">71,9</w:t>
            </w:r>
          </w:p>
        </w:tc>
      </w:tr>
    </w:tbl>
    <w:p>
      <w:pPr>
        <w:pStyle w:val="BodyText"/>
      </w:pPr>
      <w:r>
        <w:t xml:space="preserve">Valores: Δ de cateterismo total por 100 pacientes necessário para neutralidade, considerando apenas o custo dos exames e do cateterismo;</w:t>
      </w:r>
      <w:r>
        <w:t xml:space="preserve"> </w:t>
      </w:r>
      <w:r>
        <w:t xml:space="preserve">“já neutro”</w:t>
      </w:r>
      <w:r>
        <w:t xml:space="preserve"> </w:t>
      </w:r>
      <w:r>
        <w:t xml:space="preserve">= preço abaixo do custo do exame substituído. Faixa observada em primeira linha: −6,3 a +4,1; contra cateterismo direto: 66,0 a 85,6.</w:t>
      </w:r>
    </w:p>
    <w:bookmarkEnd w:id="10"/>
    <w:bookmarkStart w:id="11" w:name="Xf3b04988f19b6b9fb2ab0925305cbfb2561d7fe"/>
    <w:p>
      <w:pPr>
        <w:pStyle w:val="Heading2"/>
      </w:pPr>
      <w:r>
        <w:t xml:space="preserve">Tabela S4 — Ensaios utilizados: cateterismo total por braço, janelas e revascularização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Ensaio</w:t>
            </w:r>
          </w:p>
        </w:tc>
        <w:tc>
          <w:tcPr/>
          <w:p>
            <w:pPr>
              <w:pStyle w:val="Compact"/>
            </w:pPr>
            <w:r>
              <w:t xml:space="preserve">Publicação</w:t>
            </w:r>
          </w:p>
        </w:tc>
        <w:tc>
          <w:tcPr/>
          <w:p>
            <w:pPr>
              <w:pStyle w:val="Compact"/>
            </w:pPr>
            <w:r>
              <w:t xml:space="preserve">Comparador</w:t>
            </w:r>
          </w:p>
        </w:tc>
        <w:tc>
          <w:tcPr/>
          <w:p>
            <w:pPr>
              <w:pStyle w:val="Compact"/>
            </w:pPr>
            <w:r>
              <w:t xml:space="preserve">N (int/ctrl)</w:t>
            </w:r>
          </w:p>
        </w:tc>
        <w:tc>
          <w:tcPr/>
          <w:p>
            <w:pPr>
              <w:pStyle w:val="Compact"/>
            </w:pPr>
            <w:r>
              <w:t xml:space="preserve">Cateterismo int</w:t>
            </w:r>
          </w:p>
        </w:tc>
        <w:tc>
          <w:tcPr/>
          <w:p>
            <w:pPr>
              <w:pStyle w:val="Compact"/>
            </w:pPr>
            <w:r>
              <w:t xml:space="preserve">Cateterismo ctrl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PROMISE</w:t>
            </w:r>
          </w:p>
        </w:tc>
        <w:tc>
          <w:tcPr/>
          <w:p>
            <w:pPr>
              <w:pStyle w:val="Compact"/>
            </w:pPr>
            <w:r>
              <w:t xml:space="preserve">NEJM 2015 · PMID 25773919</w:t>
            </w:r>
          </w:p>
        </w:tc>
        <w:tc>
          <w:tcPr/>
          <w:p>
            <w:pPr>
              <w:pStyle w:val="Compact"/>
            </w:pPr>
            <w:r>
              <w:t xml:space="preserve">funcional-primeiro</w:t>
            </w:r>
          </w:p>
        </w:tc>
        <w:tc>
          <w:tcPr/>
          <w:p>
            <w:pPr>
              <w:pStyle w:val="Compact"/>
            </w:pPr>
            <w:r>
              <w:t xml:space="preserve">4996 / 5007</w:t>
            </w:r>
          </w:p>
        </w:tc>
        <w:tc>
          <w:tcPr/>
          <w:p>
            <w:pPr>
              <w:pStyle w:val="Compact"/>
            </w:pPr>
            <w:r>
              <w:t xml:space="preserve">609 (12,2%)</w:t>
            </w:r>
          </w:p>
        </w:tc>
        <w:tc>
          <w:tcPr/>
          <w:p>
            <w:pPr>
              <w:pStyle w:val="Compact"/>
            </w:pPr>
            <w:r>
              <w:t xml:space="preserve">406 (8,1%)</w:t>
            </w:r>
          </w:p>
        </w:tc>
        <w:tc>
          <w:tcPr/>
          <w:p>
            <w:pPr>
              <w:pStyle w:val="Compact"/>
            </w:pPr>
            <w:r>
              <w:t xml:space="preserve">90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SCOT-HEART</w:t>
            </w:r>
          </w:p>
        </w:tc>
        <w:tc>
          <w:tcPr/>
          <w:p>
            <w:pPr>
              <w:pStyle w:val="Compact"/>
            </w:pPr>
            <w:r>
              <w:t xml:space="preserve">JACC 2016 · PMID 27081014; NEJM 2018 · PMID 30145934</w:t>
            </w:r>
          </w:p>
        </w:tc>
        <w:tc>
          <w:tcPr/>
          <w:p>
            <w:pPr>
              <w:pStyle w:val="Compact"/>
            </w:pPr>
            <w:r>
              <w:t xml:space="preserve">usual care (aditivo)</w:t>
            </w:r>
          </w:p>
        </w:tc>
        <w:tc>
          <w:tcPr/>
          <w:p>
            <w:pPr>
              <w:pStyle w:val="Compact"/>
            </w:pPr>
            <w:r>
              <w:t xml:space="preserve">2073 / 2073</w:t>
            </w:r>
          </w:p>
        </w:tc>
        <w:tc>
          <w:tcPr/>
          <w:p>
            <w:pPr>
              <w:pStyle w:val="Compact"/>
            </w:pPr>
            <w:r>
              <w:t xml:space="preserve">409 (19,7%) (mediana 20 m); 491 (23,7%) (5 a)</w:t>
            </w:r>
          </w:p>
        </w:tc>
        <w:tc>
          <w:tcPr/>
          <w:p>
            <w:pPr>
              <w:pStyle w:val="Compact"/>
            </w:pPr>
            <w:r>
              <w:t xml:space="preserve">401 (19,3%); 502 (24,2%)</w:t>
            </w:r>
          </w:p>
        </w:tc>
        <w:tc>
          <w:tcPr/>
          <w:p>
            <w:pPr>
              <w:pStyle w:val="Compact"/>
            </w:pPr>
            <w:r>
              <w:t xml:space="preserve">20 m; 5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CRESCENT-I</w:t>
            </w:r>
          </w:p>
        </w:tc>
        <w:tc>
          <w:tcPr/>
          <w:p>
            <w:pPr>
              <w:pStyle w:val="Compact"/>
            </w:pPr>
            <w:r>
              <w:t xml:space="preserve">Eur Heart J 2016 · PMID 26746631</w:t>
            </w:r>
          </w:p>
        </w:tc>
        <w:tc>
          <w:tcPr/>
          <w:p>
            <w:pPr>
              <w:pStyle w:val="Compact"/>
            </w:pPr>
            <w:r>
              <w:t xml:space="preserve">funcional-primeiro</w:t>
            </w:r>
          </w:p>
        </w:tc>
        <w:tc>
          <w:tcPr/>
          <w:p>
            <w:pPr>
              <w:pStyle w:val="Compact"/>
            </w:pPr>
            <w:r>
              <w:t xml:space="preserve">239 / 108</w:t>
            </w:r>
          </w:p>
        </w:tc>
        <w:tc>
          <w:tcPr/>
          <w:p>
            <w:pPr>
              <w:pStyle w:val="Compact"/>
            </w:pPr>
            <w:r>
              <w:t xml:space="preserve">29 (12,1%)</w:t>
            </w:r>
          </w:p>
        </w:tc>
        <w:tc>
          <w:tcPr/>
          <w:p>
            <w:pPr>
              <w:pStyle w:val="Compact"/>
            </w:pPr>
            <w:r>
              <w:t xml:space="preserve">12 (11,1%)</w:t>
            </w:r>
          </w:p>
        </w:tc>
        <w:tc>
          <w:tcPr/>
          <w:p>
            <w:pPr>
              <w:pStyle w:val="Compact"/>
            </w:pPr>
            <w:r>
              <w:t xml:space="preserve">1 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CRESCENT-II</w:t>
            </w:r>
          </w:p>
        </w:tc>
        <w:tc>
          <w:tcPr/>
          <w:p>
            <w:pPr>
              <w:pStyle w:val="Compact"/>
            </w:pPr>
            <w:r>
              <w:t xml:space="preserve">JACC Img 2018 · PMID 29248657</w:t>
            </w:r>
          </w:p>
        </w:tc>
        <w:tc>
          <w:tcPr/>
          <w:p>
            <w:pPr>
              <w:pStyle w:val="Compact"/>
            </w:pPr>
            <w:r>
              <w:t xml:space="preserve">funcional-primeiro</w:t>
            </w:r>
          </w:p>
        </w:tc>
        <w:tc>
          <w:tcPr/>
          <w:p>
            <w:pPr>
              <w:pStyle w:val="Compact"/>
            </w:pPr>
            <w:r>
              <w:t xml:space="preserve">130 / 138</w:t>
            </w:r>
          </w:p>
        </w:tc>
        <w:tc>
          <w:tcPr/>
          <w:p>
            <w:pPr>
              <w:pStyle w:val="Compact"/>
            </w:pPr>
            <w:r>
              <w:t xml:space="preserve">17 (13,1%)</w:t>
            </w:r>
          </w:p>
        </w:tc>
        <w:tc>
          <w:tcPr/>
          <w:p>
            <w:pPr>
              <w:pStyle w:val="Compact"/>
            </w:pPr>
            <w:r>
              <w:t xml:space="preserve">20 (14,5%)</w:t>
            </w:r>
          </w:p>
        </w:tc>
        <w:tc>
          <w:tcPr/>
          <w:p>
            <w:pPr>
              <w:pStyle w:val="Compac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</w:t>
            </w:r>
          </w:p>
        </w:tc>
        <w:tc>
          <w:tcPr/>
          <w:p>
            <w:pPr>
              <w:pStyle w:val="Compact"/>
            </w:pPr>
            <w:r>
              <w:t xml:space="preserve">EHJ-CI 2015 · PMID 25473041</w:t>
            </w:r>
          </w:p>
        </w:tc>
        <w:tc>
          <w:tcPr/>
          <w:p>
            <w:pPr>
              <w:pStyle w:val="Compact"/>
            </w:pPr>
            <w:r>
              <w:t xml:space="preserve">ergometria</w:t>
            </w:r>
          </w:p>
        </w:tc>
        <w:tc>
          <w:tcPr/>
          <w:p>
            <w:pPr>
              <w:pStyle w:val="Compact"/>
            </w:pPr>
            <w:r>
              <w:t xml:space="preserve">243 / 245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 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PRECISE</w:t>
            </w:r>
          </w:p>
        </w:tc>
        <w:tc>
          <w:tcPr/>
          <w:p>
            <w:pPr>
              <w:pStyle w:val="Compact"/>
            </w:pPr>
            <w:r>
              <w:t xml:space="preserve">JAMA Cardiol 2023 · PMID 37610731</w:t>
            </w:r>
          </w:p>
        </w:tc>
        <w:tc>
          <w:tcPr/>
          <w:p>
            <w:pPr>
              <w:pStyle w:val="Compact"/>
            </w:pPr>
            <w:r>
              <w:t xml:space="preserve">usual testing</w:t>
            </w:r>
          </w:p>
        </w:tc>
        <w:tc>
          <w:tcPr/>
          <w:p>
            <w:pPr>
              <w:pStyle w:val="Compact"/>
            </w:pPr>
            <w:r>
              <w:t xml:space="preserve">1057 / 1046</w:t>
            </w:r>
          </w:p>
        </w:tc>
        <w:tc>
          <w:tcPr/>
          <w:p>
            <w:pPr>
              <w:pStyle w:val="Compact"/>
            </w:pPr>
            <w:r>
              <w:t xml:space="preserve">135 (12,8%)</w:t>
            </w:r>
          </w:p>
        </w:tc>
        <w:tc>
          <w:tcPr/>
          <w:p>
            <w:pPr>
              <w:pStyle w:val="Compact"/>
            </w:pPr>
            <w:r>
              <w:t xml:space="preserve">177 (16,9%)</w:t>
            </w:r>
          </w:p>
        </w:tc>
        <w:tc>
          <w:tcPr/>
          <w:p>
            <w:pPr>
              <w:pStyle w:val="Compact"/>
            </w:pPr>
            <w:r>
              <w:t xml:space="preserve">11,8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Foy (metanálise)</w:t>
            </w:r>
          </w:p>
        </w:tc>
        <w:tc>
          <w:tcPr/>
          <w:p>
            <w:pPr>
              <w:pStyle w:val="Compact"/>
            </w:pPr>
            <w:r>
              <w:t xml:space="preserve">JAMA Intern Med 2017 · PMID 28973101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10 315 / 9 777</w:t>
            </w:r>
          </w:p>
        </w:tc>
        <w:tc>
          <w:tcPr/>
          <w:p>
            <w:pPr>
              <w:pStyle w:val="Compact"/>
            </w:pPr>
            <w:r>
              <w:t xml:space="preserve">11,7%</w:t>
            </w:r>
          </w:p>
        </w:tc>
        <w:tc>
          <w:tcPr/>
          <w:p>
            <w:pPr>
              <w:pStyle w:val="Compact"/>
            </w:pPr>
            <w:r>
              <w:t xml:space="preserve">9,1%</w:t>
            </w:r>
          </w:p>
        </w:tc>
        <w:tc>
          <w:tcPr/>
          <w:p>
            <w:pPr>
              <w:pStyle w:val="Compact"/>
            </w:pPr>
            <w:r>
              <w:t xml:space="preserve">média 18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CAD-MAN</w:t>
            </w:r>
          </w:p>
        </w:tc>
        <w:tc>
          <w:tcPr/>
          <w:p>
            <w:pPr>
              <w:pStyle w:val="Compact"/>
            </w:pPr>
            <w:r>
              <w:t xml:space="preserve">BMJ 2016 · PMID 27777234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invasivo-primeiro</w:t>
            </w:r>
          </w:p>
        </w:tc>
        <w:tc>
          <w:tcPr/>
          <w:p>
            <w:pPr>
              <w:pStyle w:val="Compact"/>
            </w:pPr>
            <w:r>
              <w:t xml:space="preserve">167 / 162</w:t>
            </w:r>
          </w:p>
        </w:tc>
        <w:tc>
          <w:tcPr/>
          <w:p>
            <w:pPr>
              <w:pStyle w:val="Compact"/>
            </w:pPr>
            <w:r>
              <w:t xml:space="preserve">24 (14,4%)</w:t>
            </w:r>
          </w:p>
        </w:tc>
        <w:tc>
          <w:tcPr/>
          <w:p>
            <w:pPr>
              <w:pStyle w:val="Compact"/>
            </w:pPr>
            <w:r>
              <w:t xml:space="preserve">162 (100%)</w:t>
            </w:r>
          </w:p>
        </w:tc>
        <w:tc>
          <w:tcPr/>
          <w:p>
            <w:pPr>
              <w:pStyle w:val="Compact"/>
            </w:pPr>
            <w:r>
              <w:t xml:space="preserve">índice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CONSERVE</w:t>
            </w:r>
          </w:p>
        </w:tc>
        <w:tc>
          <w:tcPr/>
          <w:p>
            <w:pPr>
              <w:pStyle w:val="Compact"/>
            </w:pPr>
            <w:r>
              <w:t xml:space="preserve">JACC Img 2019 · PMID 30553687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invasivo-primeiro</w:t>
            </w:r>
          </w:p>
        </w:tc>
        <w:tc>
          <w:tcPr/>
          <w:p>
            <w:pPr>
              <w:pStyle w:val="Compact"/>
            </w:pPr>
            <w:r>
              <w:t xml:space="preserve">823 / 808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1 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DISCHARGE</w:t>
            </w:r>
          </w:p>
        </w:tc>
        <w:tc>
          <w:tcPr/>
          <w:p>
            <w:pPr>
              <w:pStyle w:val="Compact"/>
            </w:pPr>
            <w:r>
              <w:t xml:space="preserve">NEJM 2022 · PMID 35240010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invasivo-primeiro</w:t>
            </w:r>
          </w:p>
        </w:tc>
        <w:tc>
          <w:tcPr/>
          <w:p>
            <w:pPr>
              <w:pStyle w:val="Compact"/>
            </w:pPr>
            <w:r>
              <w:t xml:space="preserve">1808 / 1753</w:t>
            </w:r>
          </w:p>
        </w:tc>
        <w:tc>
          <w:tcPr/>
          <w:p>
            <w:pPr>
              <w:pStyle w:val="Compact"/>
            </w:pPr>
            <w:r>
              <w:t xml:space="preserve">404 (22,3%)</w:t>
            </w:r>
          </w:p>
        </w:tc>
        <w:tc>
          <w:tcPr/>
          <w:p>
            <w:pPr>
              <w:pStyle w:val="Compact"/>
            </w:pPr>
            <w:r>
              <w:t xml:space="preserve">1708 (97,4%)</w:t>
            </w:r>
          </w:p>
        </w:tc>
        <w:tc>
          <w:tcPr/>
          <w:p>
            <w:pPr>
              <w:pStyle w:val="Compact"/>
            </w:pPr>
            <w:r>
              <w:t xml:space="preserve">manejo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Reis 2022</w:t>
            </w:r>
          </w:p>
        </w:tc>
        <w:tc>
          <w:tcPr/>
          <w:p>
            <w:pPr>
              <w:pStyle w:val="Compact"/>
            </w:pPr>
            <w:r>
              <w:t xml:space="preserve">Int J Cardiovasc Imaging 2022 · PMID 35226221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invasivo-primeiro</w:t>
            </w:r>
          </w:p>
        </w:tc>
        <w:tc>
          <w:tcPr/>
          <w:p>
            <w:pPr>
              <w:pStyle w:val="Compact"/>
            </w:pPr>
            <w:r>
              <w:t xml:space="preserve">115 / 105</w:t>
            </w:r>
          </w:p>
        </w:tc>
        <w:tc>
          <w:tcPr/>
          <w:p>
            <w:pPr>
              <w:pStyle w:val="Compact"/>
            </w:pPr>
            <w:r>
              <w:t xml:space="preserve">32 (27,8%)</w:t>
            </w:r>
          </w:p>
        </w:tc>
        <w:tc>
          <w:tcPr/>
          <w:p>
            <w:pPr>
              <w:pStyle w:val="Compact"/>
            </w:pPr>
            <w:r>
              <w:t xml:space="preserve">105 (100%)</w:t>
            </w:r>
          </w:p>
        </w:tc>
        <w:tc>
          <w:tcPr/>
          <w:p>
            <w:pPr>
              <w:pStyle w:val="Compact"/>
            </w:pPr>
            <w:r>
              <w:t xml:space="preserve">≤ 3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</w:t>
            </w:r>
          </w:p>
        </w:tc>
        <w:tc>
          <w:tcPr/>
          <w:p>
            <w:pPr>
              <w:pStyle w:val="Compact"/>
            </w:pPr>
            <w:r>
              <w:t xml:space="preserve">(via IQWiG D22-01)</w:t>
            </w:r>
          </w:p>
        </w:tc>
        <w:tc>
          <w:tcPr/>
          <w:p>
            <w:pPr>
              <w:pStyle w:val="Compact"/>
            </w:pPr>
            <w:r>
              <w:t xml:space="preserve">funcional; dor torácica aguda</w:t>
            </w:r>
          </w:p>
        </w:tc>
        <w:tc>
          <w:tcPr/>
          <w:p>
            <w:pPr>
              <w:pStyle w:val="Compact"/>
            </w:pPr>
            <w:r>
              <w:t xml:space="preserve">285 / 291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CARE-CCTA</w:t>
            </w:r>
          </w:p>
        </w:tc>
        <w:tc>
          <w:tcPr/>
          <w:p>
            <w:pPr>
              <w:pStyle w:val="Compact"/>
            </w:pPr>
            <w:r>
              <w:t xml:space="preserve">(via IQWiG D22-01)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460 / 443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Os quatro invasivo-primeiro não são comparáveis aos demais: a população já estava referenciada para procedimento invasivo e a taxa do braço controle é determinada pelo desenho. CATCH e CARE-CCTA entram apenas no desfecho de cateterismo sem DAC obstrutiva (Tabela S6). As contagens do CAPP (66/51) não constam do artigo primário; provêm do gráfico de floresta de Foy 2017. Revascularização por braço, usada na Tabela S7: PRECISE 9,2% vs 5,2%; Foy 2017 (13 ensaios) 7,2% vs 4,5%; SCOT-HEART 233 vs 201 (20 m) e 279 vs 267 (5 a); DISCHARGE 14,2% vs 18,0%; CONSERVE 13% vs 18%. Nos ensaios em que a revascularização não é desagregada, ela é valorada como angioplastia. Os Δ de cateterismo provêm de 10 ensaios e 1 metanálise; CATCH e CARE-CCTA (12 estudos ao todo) só entram na eficiência diagnóstica.</w:t>
      </w:r>
    </w:p>
    <w:p>
      <w:r>
        <w:pict>
          <v:rect style="width:0;height:1.5pt" o:hralign="center" o:hrstd="t" o:hr="t"/>
        </w:pict>
      </w:r>
    </w:p>
    <w:bookmarkEnd w:id="11"/>
    <w:bookmarkStart w:id="12" w:name="Xe2e0b00c4f5dedff41155fcd6d5a639d5039a85"/>
    <w:p>
      <w:pPr>
        <w:pStyle w:val="Heading2"/>
      </w:pPr>
      <w:r>
        <w:t xml:space="preserve">Tabela S5 — Posição da angiotomografia coronariana nas diretrizes vigentes, por probabilidade pré-teste</w:t>
      </w:r>
    </w:p>
    <w:p>
      <w:pPr>
        <w:pStyle w:val="FirstParagraph"/>
      </w:pPr>
      <w:r>
        <w:t xml:space="preserve">Cinco diretrizes verificadas em texto integral (SBC/CBR TC/RM 2024; SBC SCC 2025; ESC 2024; AHA/ACC 2021; NICE CG95). Nenhuma diretriz AHA/ACC posterior a 2021 sobre dor torácica ou doença coronariana crônica existe (a de 2023 remete à de 2021).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Diretriz</w:t>
            </w:r>
          </w:p>
        </w:tc>
        <w:tc>
          <w:tcPr/>
          <w:p>
            <w:pPr>
              <w:pStyle w:val="Compact"/>
            </w:pPr>
            <w:r>
              <w:t xml:space="preserve">Probabilidade baixa</w:t>
            </w:r>
          </w:p>
        </w:tc>
        <w:tc>
          <w:tcPr/>
          <w:p>
            <w:pPr>
              <w:pStyle w:val="Compact"/>
            </w:pPr>
            <w:r>
              <w:t xml:space="preserve">Intermediária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Filtro antes de cateterismo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SBC SCC 2025</w:t>
            </w:r>
            <w:r>
              <w:t xml:space="preserve"> </w:t>
            </w:r>
            <w:r>
              <w:t xml:space="preserve">(Arq Bras Cardiol 2025;122(9))</w:t>
            </w:r>
          </w:p>
        </w:tc>
        <w:tc>
          <w:tcPr/>
          <w:p>
            <w:pPr>
              <w:pStyle w:val="Compact"/>
            </w:pPr>
            <w:r>
              <w:t xml:space="preserve">primeira opção</w:t>
            </w:r>
            <w:r>
              <w:t xml:space="preserve"> </w:t>
            </w:r>
            <w:r>
              <w:rPr>
                <w:b/>
                <w:bCs/>
              </w:rPr>
              <w:t xml:space="preserve">IIb-B</w:t>
            </w:r>
            <w:r>
              <w:t xml:space="preserve">;</w:t>
            </w:r>
            <w:r>
              <w:t xml:space="preserve"> </w:t>
            </w:r>
            <w:r>
              <w:t xml:space="preserve">“ajustar PPT ou angiotomografia”</w:t>
            </w:r>
          </w:p>
        </w:tc>
        <w:tc>
          <w:tcPr/>
          <w:p>
            <w:pPr>
              <w:pStyle w:val="Compact"/>
            </w:pPr>
            <w:r>
              <w:t xml:space="preserve">exame inicial</w:t>
            </w:r>
            <w:r>
              <w:t xml:space="preserve"> </w:t>
            </w:r>
            <w:r>
              <w:rPr>
                <w:b/>
                <w:bCs/>
              </w:rPr>
              <w:t xml:space="preserve">I-A</w:t>
            </w:r>
            <w:r>
              <w:t xml:space="preserve">;</w:t>
            </w:r>
            <w:r>
              <w:t xml:space="preserve"> </w:t>
            </w:r>
            <w:r>
              <w:t xml:space="preserve">“prova funcional ou angiotomografia”</w:t>
            </w:r>
          </w:p>
        </w:tc>
        <w:tc>
          <w:tcPr/>
          <w:p>
            <w:pPr>
              <w:pStyle w:val="Compact"/>
            </w:pPr>
            <w:r>
              <w:t xml:space="preserve">prova funcional (I-B para eco, SPECT/PET, RMC)</w:t>
            </w:r>
          </w:p>
        </w:tc>
        <w:tc>
          <w:tcPr/>
          <w:p>
            <w:pPr>
              <w:pStyle w:val="Compact"/>
            </w:pPr>
            <w:r>
              <w:t xml:space="preserve">“alternativa ao estudo invasivo”</w:t>
            </w:r>
            <w:r>
              <w:t xml:space="preserve"> </w:t>
            </w:r>
            <w:r>
              <w:t xml:space="preserve">após teste funcional conflitante (IIa-B baixa; I-A intermediária)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SBC TC/RM 2024</w:t>
            </w:r>
            <w:r>
              <w:t xml:space="preserve"> </w:t>
            </w:r>
            <w:r>
              <w:t xml:space="preserve">(Arq Bras Cardiol 2024;121(9))</w:t>
            </w:r>
          </w:p>
        </w:tc>
        <w:tc>
          <w:tcPr/>
          <w:p>
            <w:pPr>
              <w:pStyle w:val="Compact"/>
            </w:pPr>
            <w:r>
              <w:t xml:space="preserve">opção inicial</w:t>
            </w:r>
            <w:r>
              <w:t xml:space="preserve"> </w:t>
            </w: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(baixa e intermediária, sem distinção)</w:t>
            </w:r>
          </w:p>
        </w:tc>
        <w:tc>
          <w:tcPr/>
          <w:p>
            <w:pPr>
              <w:pStyle w:val="Compact"/>
            </w:pPr>
            <w:r>
              <w:t xml:space="preserve">opção inicial</w:t>
            </w:r>
            <w:r>
              <w:t xml:space="preserve"> </w:t>
            </w:r>
            <w:r>
              <w:rPr>
                <w:b/>
                <w:bCs/>
              </w:rPr>
              <w:t xml:space="preserve">I-A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III-C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“alternativa … com probabilidade pré-teste intermediária e indicação de cinecoronariografia invasiva”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 2024</w:t>
            </w:r>
            <w:r>
              <w:t xml:space="preserve"> </w:t>
            </w:r>
            <w:r>
              <w:t xml:space="preserve">(Eur Heart J 2024;45:3415)</w:t>
            </w:r>
          </w:p>
        </w:tc>
        <w:tc>
          <w:tcPr/>
          <w:p>
            <w:pPr>
              <w:pStyle w:val="Compact"/>
            </w:pPr>
            <w:r>
              <w:t xml:space="preserve">≤5% diferir (IIa-B); 5–15% escore de cálcio (IIa-B)</w:t>
            </w:r>
          </w:p>
        </w:tc>
        <w:tc>
          <w:tcPr/>
          <w:p>
            <w:pPr>
              <w:pStyle w:val="Compact"/>
            </w:pPr>
            <w:r>
              <w:t xml:space="preserve">&gt;5–50%: CCTA</w:t>
            </w:r>
            <w:r>
              <w:t xml:space="preserve"> </w:t>
            </w:r>
            <w:r>
              <w:rPr>
                <w:b/>
                <w:bCs/>
              </w:rPr>
              <w:t xml:space="preserve">preferida</w:t>
            </w:r>
            <w:r>
              <w:t xml:space="preserve"> </w:t>
            </w:r>
            <w:r>
              <w:t xml:space="preserve">para excluir DAC (I-B), diagnóstico e risco (I-A); &gt;15–85%: imagem funcional (I-B),</w:t>
            </w:r>
            <w:r>
              <w:t xml:space="preserve"> </w:t>
            </w:r>
            <w:r>
              <w:t xml:space="preserve">“melhor poder de confirmação”</w:t>
            </w:r>
          </w:p>
        </w:tc>
        <w:tc>
          <w:tcPr/>
          <w:p>
            <w:pPr>
              <w:pStyle w:val="Compact"/>
            </w:pPr>
            <w:r>
              <w:t xml:space="preserve">&gt;85%: cateterismo direto (I-C)</w:t>
            </w:r>
          </w:p>
        </w:tc>
        <w:tc>
          <w:tcPr/>
          <w:p>
            <w:pPr>
              <w:pStyle w:val="Compact"/>
            </w:pPr>
            <w:r>
              <w:t xml:space="preserve">sequência da Tabela 13: CCTA → funcional se incerta → cateterismo se ainda incerto (I-B)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AHA/ACC 2021</w:t>
            </w:r>
            <w:r>
              <w:t xml:space="preserve"> </w:t>
            </w:r>
            <w:r>
              <w:t xml:space="preserve">(Circulation 2021;144:e368)</w:t>
            </w:r>
          </w:p>
        </w:tc>
        <w:tc>
          <w:tcPr/>
          <w:p>
            <w:pPr>
              <w:pStyle w:val="Compact"/>
            </w:pPr>
            <w:r>
              <w:t xml:space="preserve">modelo de PPT identifica os de baixa probabilidade</w:t>
            </w:r>
            <w:r>
              <w:t xml:space="preserve"> </w:t>
            </w:r>
            <w:r>
              <w:t xml:space="preserve">“em quem o teste diagnóstico adicional pode ser diferido”</w:t>
            </w:r>
            <w:r>
              <w:t xml:space="preserve"> </w:t>
            </w:r>
            <w:r>
              <w:t xml:space="preserve">(classe 1 B-NR); no baixo risco, escore de cálcio (2a B-R) ou teste ergométrico sem imagem (2a B-NR) como primeira linha</w:t>
            </w:r>
          </w:p>
        </w:tc>
        <w:tc>
          <w:tcPr/>
          <w:p>
            <w:pPr>
              <w:pStyle w:val="Compact"/>
            </w:pPr>
            <w:r>
              <w:t xml:space="preserve">risco intermediário-alto: CCTA</w:t>
            </w:r>
            <w:r>
              <w:t xml:space="preserve"> </w:t>
            </w:r>
            <w:r>
              <w:rPr>
                <w:b/>
                <w:bCs/>
              </w:rPr>
              <w:t xml:space="preserve">1-A</w:t>
            </w:r>
            <w:r>
              <w:t xml:space="preserve"> </w:t>
            </w:r>
            <w:r>
              <w:t xml:space="preserve">e imagem de estresse</w:t>
            </w:r>
            <w:r>
              <w:t xml:space="preserve"> </w:t>
            </w:r>
            <w:r>
              <w:rPr>
                <w:b/>
                <w:bCs/>
              </w:rPr>
              <w:t xml:space="preserve">1 B-R</w:t>
            </w:r>
            <w:r>
              <w:t xml:space="preserve"> </w:t>
            </w:r>
            <w:r>
              <w:t xml:space="preserve">co-iguais; CCTA preferível &lt;65 anos, estresse ≥65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“candidatos a cateterismo eletivo podem ser triados com segurança por CCTA ou teste de estresse”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NICE CG95</w:t>
            </w:r>
            <w:r>
              <w:t xml:space="preserve"> </w:t>
            </w:r>
            <w:r>
              <w:t xml:space="preserve">(2016)</w:t>
            </w:r>
          </w:p>
        </w:tc>
        <w:tc>
          <w:tcPr/>
          <w:p>
            <w:pPr>
              <w:pStyle w:val="Compact"/>
            </w:pPr>
            <w:r>
              <w:t xml:space="preserve">CCTA ≥64 cortes a toda angina típica/atípica, sem PPT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funcional 2ª linha se CCTA incerta; cateterismo 3ª linha</w:t>
            </w:r>
          </w:p>
        </w:tc>
      </w:tr>
    </w:tbl>
    <w:p>
      <w:pPr>
        <w:pStyle w:val="BodyText"/>
      </w:pPr>
      <w:r>
        <w:t xml:space="preserve">Texto da SBC SCC 2025 (seção 3.1.7,</w:t>
      </w:r>
      <w:r>
        <w:t xml:space="preserve"> </w:t>
      </w:r>
      <w:r>
        <w:t xml:space="preserve">“Resumo com sugestão de como investigar com métodos diagnósticos”</w:t>
      </w:r>
      <w:r>
        <w:t xml:space="preserve">):</w:t>
      </w:r>
      <w:r>
        <w:t xml:space="preserve"> </w:t>
      </w:r>
      <w:r>
        <w:t xml:space="preserve">“A escolha do exame inicial deve levar em conta: Capacidade funcional: se preservada, iniciar com TE ou ecocardiograma de estresse; ECG basal interpretável: se não for interpretável, preferir métodos de imagem (ecocardiograma, cintilografia, RMC); Acesso local e disponibilidade: considerar custo, tempo de realização e familiaridade da equipe; DRC ou alergia a contraste: pode haver restrição para realização de angioTC.”</w:t>
      </w:r>
      <w:r>
        <w:t xml:space="preserve"> </w:t>
      </w:r>
      <w:r>
        <w:t xml:space="preserve">E:</w:t>
      </w:r>
      <w:r>
        <w:t xml:space="preserve"> </w:t>
      </w:r>
      <w:r>
        <w:t xml:space="preserve">“Pacientes com PPT &lt; 5% não requerem investigação adicional. Aqueles entre 5 e 15% devem ser avaliados individualmente. PPT entre 15 e 85% indica a necessidade de testes funcionais ou anatômicos”</w:t>
      </w:r>
      <w:r>
        <w:t xml:space="preserve">.</w:t>
      </w:r>
    </w:p>
    <w:bookmarkEnd w:id="12"/>
    <w:bookmarkStart w:id="13" w:name="X8fbea975c9f877d1bd67bf046e4b5c528b84bcb"/>
    <w:p>
      <w:pPr>
        <w:pStyle w:val="Heading2"/>
      </w:pPr>
      <w:r>
        <w:t xml:space="preserve">Tabela S6 — Eficiência diagnóstica: cateterismo sem DAC obstrutiva por 100 randomizados (IQWiG D22-01, Tabela 43)</w:t>
      </w:r>
    </w:p>
    <w:p>
      <w:pPr>
        <w:pStyle w:val="FirstParagraph"/>
      </w:pPr>
      <w:r>
        <w:t xml:space="preserve">Métrica de eficiência diagnóstica,</w:t>
      </w:r>
      <w:r>
        <w:t xml:space="preserve"> </w:t>
      </w:r>
      <w:r>
        <w:rPr>
          <w:b/>
          <w:bCs/>
        </w:rPr>
        <w:t xml:space="preserve">não utilizada no cálculo econômico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Ensaio</w:t>
            </w:r>
          </w:p>
        </w:tc>
        <w:tc>
          <w:tcPr/>
          <w:p>
            <w:pPr>
              <w:pStyle w:val="Compact"/>
            </w:pPr>
            <w:r>
              <w:t xml:space="preserve">Comparador</w:t>
            </w:r>
          </w:p>
        </w:tc>
        <w:tc>
          <w:tcPr/>
          <w:p>
            <w:pPr>
              <w:pStyle w:val="Compact"/>
            </w:pPr>
            <w:r>
              <w:t xml:space="preserve">angioTC</w:t>
            </w:r>
          </w:p>
        </w:tc>
        <w:tc>
          <w:tcPr/>
          <w:p>
            <w:pPr>
              <w:pStyle w:val="Compact"/>
            </w:pPr>
            <w:r>
              <w:t xml:space="preserve">Controle</w:t>
            </w:r>
          </w:p>
        </w:tc>
        <w:tc>
          <w:tcPr/>
          <w:p>
            <w:pPr>
              <w:pStyle w:val="Compact"/>
            </w:pPr>
            <w:r>
              <w:t xml:space="preserve">Evitados 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CARE-CCTA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4/460 (0,9%)</w:t>
            </w:r>
          </w:p>
        </w:tc>
        <w:tc>
          <w:tcPr/>
          <w:p>
            <w:pPr>
              <w:pStyle w:val="Compact"/>
            </w:pPr>
            <w:r>
              <w:t xml:space="preserve">30/443 (6,8%)</w:t>
            </w:r>
          </w:p>
        </w:tc>
        <w:tc>
          <w:tcPr/>
          <w:p>
            <w:pPr>
              <w:pStyle w:val="Compact"/>
            </w:pPr>
            <w:r>
              <w:t xml:space="preserve">5,9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</w:t>
            </w:r>
          </w:p>
        </w:tc>
        <w:tc>
          <w:tcPr/>
          <w:p>
            <w:pPr>
              <w:pStyle w:val="Compact"/>
            </w:pPr>
            <w:r>
              <w:t xml:space="preserve">funcional (dor torácica aguda, SCA excluída)</w:t>
            </w:r>
          </w:p>
        </w:tc>
        <w:tc>
          <w:tcPr/>
          <w:p>
            <w:pPr>
              <w:pStyle w:val="Compact"/>
            </w:pPr>
            <w:r>
              <w:t xml:space="preserve">14/285 (4,9%)</w:t>
            </w:r>
          </w:p>
        </w:tc>
        <w:tc>
          <w:tcPr/>
          <w:p>
            <w:pPr>
              <w:pStyle w:val="Compact"/>
            </w:pPr>
            <w:r>
              <w:t xml:space="preserve">23/291 (7,9%)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SCOT-HEART</w:t>
            </w:r>
          </w:p>
        </w:tc>
        <w:tc>
          <w:tcPr/>
          <w:p>
            <w:pPr>
              <w:pStyle w:val="Compact"/>
            </w:pPr>
            <w:r>
              <w:t xml:space="preserve">usual care (aditivo)</w:t>
            </w:r>
          </w:p>
        </w:tc>
        <w:tc>
          <w:tcPr/>
          <w:p>
            <w:pPr>
              <w:pStyle w:val="Compact"/>
            </w:pPr>
            <w:r>
              <w:t xml:space="preserve">20/2073 (1,0%)</w:t>
            </w:r>
          </w:p>
        </w:tc>
        <w:tc>
          <w:tcPr/>
          <w:p>
            <w:pPr>
              <w:pStyle w:val="Compact"/>
            </w:pPr>
            <w:r>
              <w:t xml:space="preserve">56/2073 (2,7%)</w:t>
            </w:r>
          </w:p>
        </w:tc>
        <w:tc>
          <w:tcPr/>
          <w:p>
            <w:pPr>
              <w:pStyle w:val="Compact"/>
            </w:pPr>
            <w:r>
              <w:t xml:space="preserve">1,7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PROMISE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170/4996 (3,4%)</w:t>
            </w:r>
          </w:p>
        </w:tc>
        <w:tc>
          <w:tcPr/>
          <w:p>
            <w:pPr>
              <w:pStyle w:val="Compact"/>
            </w:pPr>
            <w:r>
              <w:t xml:space="preserve">213/5007 (4,3%)</w:t>
            </w:r>
          </w:p>
        </w:tc>
        <w:tc>
          <w:tcPr/>
          <w:p>
            <w:pPr>
              <w:pStyle w:val="Compact"/>
            </w:pPr>
            <w:r>
              <w:t xml:space="preserve">0,9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CAD-MAN</w:t>
            </w:r>
          </w:p>
        </w:tc>
        <w:tc>
          <w:tcPr/>
          <w:p>
            <w:pPr>
              <w:pStyle w:val="Compact"/>
            </w:pPr>
            <w:r>
              <w:t xml:space="preserve">cateterismo direto</w:t>
            </w:r>
          </w:p>
        </w:tc>
        <w:tc>
          <w:tcPr/>
          <w:p>
            <w:pPr>
              <w:pStyle w:val="Compact"/>
            </w:pPr>
            <w:r>
              <w:t xml:space="preserve">6/167 (3,6%)</w:t>
            </w:r>
          </w:p>
        </w:tc>
        <w:tc>
          <w:tcPr/>
          <w:p>
            <w:pPr>
              <w:pStyle w:val="Compact"/>
            </w:pPr>
            <w:r>
              <w:t xml:space="preserve">137/162 (84,6%)</w:t>
            </w:r>
          </w:p>
        </w:tc>
        <w:tc>
          <w:tcPr/>
          <w:p>
            <w:pPr>
              <w:pStyle w:val="Compact"/>
            </w:pPr>
            <w:r>
              <w:t xml:space="preserve">81,0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</w:t>
            </w:r>
          </w:p>
        </w:tc>
        <w:tc>
          <w:tcPr/>
          <w:p>
            <w:pPr>
              <w:pStyle w:val="Compact"/>
            </w:pPr>
            <w:r>
              <w:t xml:space="preserve">cateterismo direto</w:t>
            </w:r>
          </w:p>
        </w:tc>
        <w:tc>
          <w:tcPr/>
          <w:p>
            <w:pPr>
              <w:pStyle w:val="Compact"/>
            </w:pPr>
            <w:r>
              <w:t xml:space="preserve">111/1808 (6,1%)</w:t>
            </w:r>
          </w:p>
        </w:tc>
        <w:tc>
          <w:tcPr/>
          <w:p>
            <w:pPr>
              <w:pStyle w:val="Compact"/>
            </w:pPr>
            <w:r>
              <w:t xml:space="preserve">1260/1753 (71,9%)</w:t>
            </w:r>
          </w:p>
        </w:tc>
        <w:tc>
          <w:tcPr/>
          <w:p>
            <w:pPr>
              <w:pStyle w:val="Compact"/>
            </w:pPr>
            <w:r>
              <w:t xml:space="preserve">65,7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Reis 2022</w:t>
            </w:r>
          </w:p>
        </w:tc>
        <w:tc>
          <w:tcPr/>
          <w:p>
            <w:pPr>
              <w:pStyle w:val="Compact"/>
            </w:pPr>
            <w:r>
              <w:t xml:space="preserve">cateterismo direto</w:t>
            </w:r>
          </w:p>
        </w:tc>
        <w:tc>
          <w:tcPr/>
          <w:p>
            <w:pPr>
              <w:pStyle w:val="Compact"/>
            </w:pPr>
            <w:r>
              <w:t xml:space="preserve">5/115 (4,3%)</w:t>
            </w:r>
          </w:p>
        </w:tc>
        <w:tc>
          <w:tcPr/>
          <w:p>
            <w:pPr>
              <w:pStyle w:val="Compact"/>
            </w:pPr>
            <w:r>
              <w:t xml:space="preserve">61/105 (58,1%)</w:t>
            </w:r>
          </w:p>
        </w:tc>
        <w:tc>
          <w:tcPr/>
          <w:p>
            <w:pPr>
              <w:pStyle w:val="Compact"/>
            </w:pPr>
            <w:r>
              <w:t xml:space="preserve">53,7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CONSERVE</w:t>
            </w:r>
          </w:p>
        </w:tc>
        <w:tc>
          <w:tcPr/>
          <w:p>
            <w:pPr>
              <w:pStyle w:val="Compact"/>
            </w:pPr>
            <w:r>
              <w:t xml:space="preserve">cateterismo direto</w:t>
            </w:r>
          </w:p>
        </w:tc>
        <w:tc>
          <w:tcPr/>
          <w:p>
            <w:pPr>
              <w:pStyle w:val="Compact"/>
            </w:pPr>
            <w:r>
              <w:t xml:space="preserve">24/784 (3,1%)ᵃ</w:t>
            </w:r>
          </w:p>
        </w:tc>
        <w:tc>
          <w:tcPr/>
          <w:p>
            <w:pPr>
              <w:pStyle w:val="Compact"/>
            </w:pPr>
            <w:r>
              <w:t xml:space="preserve">439/719 (61,1%)ᵃ</w:t>
            </w:r>
          </w:p>
        </w:tc>
        <w:tc>
          <w:tcPr/>
          <w:p>
            <w:pPr>
              <w:pStyle w:val="Compact"/>
            </w:pPr>
            <w:r>
              <w:t xml:space="preserve">58,0ᵃ</w:t>
            </w:r>
          </w:p>
        </w:tc>
      </w:tr>
    </w:tbl>
    <w:p>
      <w:pPr>
        <w:pStyle w:val="BodyText"/>
      </w:pPr>
      <w:r>
        <w:t xml:space="preserve">ᵃ CONSERVE: valores da Tabela 43 do IQWiG (denominadores de pacientes avaliados por estratégia, 784/719, não os randomizados, 823/808); o abstract do ensaio reporta 24,6% e 61,1% como taxas de cateterismo normal entre os cateterismos realizados, não por paciente. Adicionalmente: PRECISE 2,6% vs 10,2%; CRESCENT-II (cateterismo sem indicação classe I) 1,5% vs 7,2%. Metanálise do IQWiG para os estudos de alta certeza contra métodos funcionais (CATCH e PROMISE): OR 0,77 (IC95% 0,64–0,94; p = 0,011). Contra cateterismo direto, OR de 0,01 a 0,03, sem estimativa agrupada por heterogeneidade.</w:t>
      </w:r>
    </w:p>
    <w:bookmarkEnd w:id="13"/>
    <w:bookmarkStart w:id="14" w:name="X5cef6f55d09c5e2113f9030945a658dcb55fb1f"/>
    <w:p>
      <w:pPr>
        <w:pStyle w:val="Heading2"/>
      </w:pPr>
      <w:r>
        <w:t xml:space="preserve">Tabela S7 — Revascularização no modelo e cotas anuais de ordem de grandeza</w:t>
      </w:r>
    </w:p>
    <w:p>
      <w:pPr>
        <w:pStyle w:val="FirstParagraph"/>
      </w:pPr>
      <w:r>
        <w:t xml:space="preserve">Custo unitário observado no SIH 2025: R$ 7.713 por angioplastia coronariana; R$ 25.904 por revascularização cirúrgica.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Δ revascularização /100</w:t>
            </w:r>
          </w:p>
        </w:tc>
        <w:tc>
          <w:tcPr/>
          <w:p>
            <w:pPr>
              <w:pStyle w:val="Compact"/>
            </w:pPr>
            <w:r>
              <w:t xml:space="preserve">Ajuste por paciente</w:t>
            </w:r>
          </w:p>
        </w:tc>
        <w:tc>
          <w:tcPr/>
          <w:p>
            <w:pPr>
              <w:pStyle w:val="Compact"/>
            </w:pPr>
            <w:r>
              <w:t xml:space="preserve">Neutralidade sem revasc.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Neutralidade com revasc.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Cintilografia + PRECISE (Δ CATE +4,1; revasc. 5,2% → 9,2%, ~3,75 PCI + 0,27 CRM)</w:t>
            </w:r>
          </w:p>
        </w:tc>
        <w:tc>
          <w:tcPr/>
          <w:p>
            <w:pPr>
              <w:pStyle w:val="Compact"/>
            </w:pPr>
            <w:r>
              <w:t xml:space="preserve">+4,0</w:t>
            </w:r>
          </w:p>
        </w:tc>
        <w:tc>
          <w:tcPr/>
          <w:p>
            <w:pPr>
              <w:pStyle w:val="Compact"/>
            </w:pPr>
            <w:r>
              <w:t xml:space="preserve">−R$ 359</w:t>
            </w:r>
          </w:p>
        </w:tc>
        <w:tc>
          <w:tcPr/>
          <w:p>
            <w:pPr>
              <w:pStyle w:val="Compact"/>
            </w:pPr>
            <w:r>
              <w:t xml:space="preserve">R$ 817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R$ 458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Cintilografia + Foy 2017, 13 ensaios, 9 de emergência (Δ CATE −2,6; revasc. 4,5% → 7,2%, RR agrupado 1,86, IC95% 1,43–2,43)</w:t>
            </w:r>
          </w:p>
        </w:tc>
        <w:tc>
          <w:tcPr/>
          <w:p>
            <w:pPr>
              <w:pStyle w:val="Compact"/>
            </w:pPr>
            <w:r>
              <w:t xml:space="preserve">+2,7</w:t>
            </w:r>
          </w:p>
        </w:tc>
        <w:tc>
          <w:tcPr/>
          <w:p>
            <w:pPr>
              <w:pStyle w:val="Compact"/>
            </w:pPr>
            <w:r>
              <w:t xml:space="preserve">−R$ 208</w:t>
            </w:r>
          </w:p>
        </w:tc>
        <w:tc>
          <w:tcPr/>
          <w:p>
            <w:pPr>
              <w:pStyle w:val="Compact"/>
            </w:pPr>
            <w:r>
              <w:t xml:space="preserve">R$ 768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Adoção aditiva + SCOT-HEART (Δ CATE −0,4 em 20 m / +0,5 em 5 a; revasc. 233 vs 201 / 279 vs 267)</w:t>
            </w:r>
          </w:p>
        </w:tc>
        <w:tc>
          <w:tcPr/>
          <w:p>
            <w:pPr>
              <w:pStyle w:val="Compact"/>
            </w:pPr>
            <w:r>
              <w:t xml:space="preserve">+1,5 / +0,6</w:t>
            </w:r>
          </w:p>
        </w:tc>
        <w:tc>
          <w:tcPr/>
          <w:p>
            <w:pPr>
              <w:pStyle w:val="Compact"/>
            </w:pPr>
            <w:r>
              <w:t xml:space="preserve">−R$ 119 / −R$ 45</w:t>
            </w:r>
          </w:p>
        </w:tc>
        <w:tc>
          <w:tcPr/>
          <w:p>
            <w:pPr>
              <w:pStyle w:val="Compact"/>
            </w:pPr>
            <w:r>
              <w:t xml:space="preserve">R$ −3 / +4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−122 / −41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Gatekeeping, DISCHARGE (Δ CATE 75,1; revasc. 18,0% → 14,2%)</w:t>
            </w:r>
          </w:p>
        </w:tc>
        <w:tc>
          <w:tcPr/>
          <w:p>
            <w:pPr>
              <w:pStyle w:val="Compact"/>
            </w:pPr>
            <w:r>
              <w:t xml:space="preserve">−3,8</w:t>
            </w:r>
          </w:p>
        </w:tc>
        <w:tc>
          <w:tcPr/>
          <w:p>
            <w:pPr>
              <w:pStyle w:val="Compact"/>
            </w:pPr>
            <w:r>
              <w:t xml:space="preserve">+R$ 293</w:t>
            </w:r>
          </w:p>
        </w:tc>
        <w:tc>
          <w:tcPr/>
          <w:p>
            <w:pPr>
              <w:pStyle w:val="Compact"/>
            </w:pPr>
            <w:r>
              <w:t xml:space="preserve">R$ 548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R$ 841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Gatekeeping, CONSERVE (Δ CATE 66,0; revasc. 18% → 13%)</w:t>
            </w:r>
          </w:p>
        </w:tc>
        <w:tc>
          <w:tcPr/>
          <w:p>
            <w:pPr>
              <w:pStyle w:val="Compact"/>
            </w:pPr>
            <w:r>
              <w:t xml:space="preserve">−5,0</w:t>
            </w:r>
          </w:p>
        </w:tc>
        <w:tc>
          <w:tcPr/>
          <w:p>
            <w:pPr>
              <w:pStyle w:val="Compact"/>
            </w:pPr>
            <w:r>
              <w:t xml:space="preserve">+R$ 386</w:t>
            </w:r>
          </w:p>
        </w:tc>
        <w:tc>
          <w:tcPr/>
          <w:p>
            <w:pPr>
              <w:pStyle w:val="Compact"/>
            </w:pPr>
            <w:r>
              <w:t xml:space="preserve">R$ 482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R$ 868</w:t>
            </w:r>
          </w:p>
        </w:tc>
      </w:tr>
    </w:tbl>
    <w:p>
      <w:pPr>
        <w:pStyle w:val="BodyText"/>
      </w:pPr>
      <w:r>
        <w:t xml:space="preserve">Cotas anuais a R$ 550, no ponto médio da faixa de Δ observada (</w:t>
      </w:r>
      <w:r>
        <w:rPr>
          <w:rStyle w:val="VerbatimChar"/>
        </w:rPr>
        <w:t xml:space="preserve">analise_final.py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 de neutralidade médio</w:t>
            </w:r>
          </w:p>
        </w:tc>
        <w:tc>
          <w:tcPr/>
          <w:p>
            <w:pPr>
              <w:pStyle w:val="Compact"/>
            </w:pPr>
            <w:r>
              <w:t xml:space="preserve">Por 100 mil pacientes</w:t>
            </w:r>
          </w:p>
        </w:tc>
        <w:tc>
          <w:tcPr/>
          <w:p>
            <w:pPr>
              <w:pStyle w:val="Compact"/>
            </w:pPr>
            <w:r>
              <w:t xml:space="preserve">Sobre o volume que pode substituir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Adoção aditiva (sem protocolo)</w:t>
            </w:r>
          </w:p>
        </w:tc>
        <w:tc>
          <w:tcPr/>
          <w:p>
            <w:pPr>
              <w:pStyle w:val="Compact"/>
            </w:pPr>
            <w:r>
              <w:t xml:space="preserve">R$ −8</w:t>
            </w:r>
          </w:p>
        </w:tc>
        <w:tc>
          <w:tcPr/>
          <w:p>
            <w:pPr>
              <w:pStyle w:val="Compact"/>
            </w:pPr>
            <w:r>
              <w:t xml:space="preserve">+R$ 55,8 mi</w:t>
            </w:r>
          </w:p>
        </w:tc>
        <w:tc>
          <w:tcPr/>
          <w:p>
            <w:pPr>
              <w:pStyle w:val="Compact"/>
            </w:pPr>
            <w:r>
              <w:t xml:space="preserve">+R$ 440 mi sobre 787.954 episódios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ergométrico</w:t>
            </w:r>
          </w:p>
        </w:tc>
        <w:tc>
          <w:tcPr/>
          <w:p>
            <w:pPr>
              <w:pStyle w:val="Compact"/>
            </w:pPr>
            <w:r>
              <w:t xml:space="preserve">R$ 24</w:t>
            </w:r>
          </w:p>
        </w:tc>
        <w:tc>
          <w:tcPr/>
          <w:p>
            <w:pPr>
              <w:pStyle w:val="Compact"/>
            </w:pPr>
            <w:r>
              <w:t xml:space="preserve">+R$ 52,6 mi</w:t>
            </w:r>
          </w:p>
        </w:tc>
        <w:tc>
          <w:tcPr/>
          <w:p>
            <w:pPr>
              <w:pStyle w:val="Compact"/>
            </w:pPr>
            <w:r>
              <w:t xml:space="preserve">+R$ 315 mi sobre 598.695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 médio do SIA</w:t>
            </w:r>
          </w:p>
        </w:tc>
        <w:tc>
          <w:tcPr/>
          <w:p>
            <w:pPr>
              <w:pStyle w:val="Compact"/>
            </w:pPr>
            <w:r>
              <w:t xml:space="preserve">R$ 177</w:t>
            </w:r>
          </w:p>
        </w:tc>
        <w:tc>
          <w:tcPr/>
          <w:p>
            <w:pPr>
              <w:pStyle w:val="Compact"/>
            </w:pPr>
            <w:r>
              <w:t xml:space="preserve">+R$ 37,3 mi</w:t>
            </w:r>
          </w:p>
        </w:tc>
        <w:tc>
          <w:tcPr/>
          <w:p>
            <w:pPr>
              <w:pStyle w:val="Compact"/>
            </w:pPr>
            <w:r>
              <w:t xml:space="preserve">+R$ 294 mi sobre 787.954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Ecocardiografia de estresse</w:t>
            </w:r>
          </w:p>
        </w:tc>
        <w:tc>
          <w:tcPr/>
          <w:p>
            <w:pPr>
              <w:pStyle w:val="Compact"/>
            </w:pPr>
            <w:r>
              <w:t xml:space="preserve">R$ 188</w:t>
            </w:r>
          </w:p>
        </w:tc>
        <w:tc>
          <w:tcPr/>
          <w:p>
            <w:pPr>
              <w:pStyle w:val="Compact"/>
            </w:pPr>
            <w:r>
              <w:t xml:space="preserve">+R$ 36,2 mi</w:t>
            </w:r>
          </w:p>
        </w:tc>
        <w:tc>
          <w:tcPr/>
          <w:p>
            <w:pPr>
              <w:pStyle w:val="Compact"/>
            </w:pPr>
            <w:r>
              <w:t xml:space="preserve">+R$ 12 mi sobre 33.766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 do NATS como publicado</w:t>
            </w:r>
          </w:p>
        </w:tc>
        <w:tc>
          <w:tcPr/>
          <w:p>
            <w:pPr>
              <w:pStyle w:val="Compact"/>
            </w:pPr>
            <w:r>
              <w:t xml:space="preserve">R$ 309</w:t>
            </w:r>
          </w:p>
        </w:tc>
        <w:tc>
          <w:tcPr/>
          <w:p>
            <w:pPr>
              <w:pStyle w:val="Compact"/>
            </w:pPr>
            <w:r>
              <w:t xml:space="preserve">+R$ 24,1 mi</w:t>
            </w:r>
          </w:p>
        </w:tc>
        <w:tc>
          <w:tcPr/>
          <w:p>
            <w:pPr>
              <w:pStyle w:val="Compact"/>
            </w:pPr>
            <w:r>
              <w:t xml:space="preserve">(sem volume próprio)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 do NATS por episódio</w:t>
            </w:r>
          </w:p>
        </w:tc>
        <w:tc>
          <w:tcPr/>
          <w:p>
            <w:pPr>
              <w:pStyle w:val="Compact"/>
            </w:pPr>
            <w:r>
              <w:t xml:space="preserve">R$ 516</w:t>
            </w:r>
          </w:p>
        </w:tc>
        <w:tc>
          <w:tcPr/>
          <w:p>
            <w:pPr>
              <w:pStyle w:val="Compact"/>
            </w:pPr>
            <w:r>
              <w:t xml:space="preserve">+R$ 3,4 mi</w:t>
            </w:r>
          </w:p>
        </w:tc>
        <w:tc>
          <w:tcPr/>
          <w:p>
            <w:pPr>
              <w:pStyle w:val="Compact"/>
            </w:pPr>
            <w:r>
              <w:t xml:space="preserve">(sem volume próprio)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Cintilografia, só exames</w:t>
            </w:r>
          </w:p>
        </w:tc>
        <w:tc>
          <w:tcPr/>
          <w:p>
            <w:pPr>
              <w:pStyle w:val="Compact"/>
            </w:pPr>
            <w:r>
              <w:t xml:space="preserve">R$ 779</w:t>
            </w:r>
          </w:p>
        </w:tc>
        <w:tc>
          <w:tcPr/>
          <w:p>
            <w:pPr>
              <w:pStyle w:val="Compact"/>
            </w:pPr>
            <w:r>
              <w:t xml:space="preserve">−R$ 22,9 mi</w:t>
            </w:r>
          </w:p>
        </w:tc>
        <w:tc>
          <w:tcPr/>
          <w:p>
            <w:pPr>
              <w:pStyle w:val="Compact"/>
            </w:pPr>
            <w:r>
              <w:t xml:space="preserve">−R$ 35 mi sobre 151.784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Cintilografia com revascularização</w:t>
            </w:r>
          </w:p>
        </w:tc>
        <w:tc>
          <w:tcPr/>
          <w:p>
            <w:pPr>
              <w:pStyle w:val="Compact"/>
            </w:pPr>
            <w:r>
              <w:t xml:space="preserve">R$ 509</w:t>
            </w:r>
          </w:p>
        </w:tc>
        <w:tc>
          <w:tcPr/>
          <w:p>
            <w:pPr>
              <w:pStyle w:val="Compact"/>
            </w:pPr>
            <w:r>
              <w:t xml:space="preserve">+R$ 4,1 mi</w:t>
            </w:r>
          </w:p>
        </w:tc>
        <w:tc>
          <w:tcPr/>
          <w:p>
            <w:pPr>
              <w:pStyle w:val="Compact"/>
            </w:pPr>
            <w:r>
              <w:t xml:space="preserve">+R$ 6 mi sobre 151.784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— CONSERVE / Reis / DISCHARGE / CAD-MAN (só exames)</w:t>
            </w:r>
          </w:p>
        </w:tc>
        <w:tc>
          <w:tcPr/>
          <w:p>
            <w:pPr>
              <w:pStyle w:val="Compact"/>
            </w:pPr>
            <w:r>
              <w:t xml:space="preserve">R$ 482 / 527 / 548 / 625</w:t>
            </w:r>
          </w:p>
        </w:tc>
        <w:tc>
          <w:tcPr/>
          <w:p>
            <w:pPr>
              <w:pStyle w:val="Compact"/>
            </w:pPr>
            <w:r>
              <w:t xml:space="preserve">+6,8 / +2,3 / +0,2 / −7,5 mi</w:t>
            </w:r>
          </w:p>
        </w:tc>
        <w:tc>
          <w:tcPr/>
          <w:p>
            <w:pPr>
              <w:pStyle w:val="Compact"/>
            </w:pPr>
            <w:r>
              <w:t xml:space="preserve">+11 / +4 / 0 / −12 mi sobre 163.803 cateterismos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— DISCHARGE com revascularização</w:t>
            </w:r>
          </w:p>
        </w:tc>
        <w:tc>
          <w:tcPr/>
          <w:p>
            <w:pPr>
              <w:pStyle w:val="Compact"/>
            </w:pPr>
            <w:r>
              <w:t xml:space="preserve">R$ 841</w:t>
            </w:r>
          </w:p>
        </w:tc>
        <w:tc>
          <w:tcPr/>
          <w:p>
            <w:pPr>
              <w:pStyle w:val="Compact"/>
            </w:pPr>
            <w:r>
              <w:t xml:space="preserve">−R$ 29,1 mi</w:t>
            </w:r>
          </w:p>
        </w:tc>
        <w:tc>
          <w:tcPr/>
          <w:p>
            <w:pPr>
              <w:pStyle w:val="Compact"/>
            </w:pPr>
            <w:r>
              <w:t xml:space="preserve">−R$ 48 mi sobre 163.803</w:t>
            </w:r>
          </w:p>
        </w:tc>
      </w:tr>
    </w:tbl>
    <w:p>
      <w:pPr>
        <w:pStyle w:val="BodyText"/>
      </w:pPr>
      <w:r>
        <w:t xml:space="preserve">Não constitui análise de impacto orçamentário: não há população elegível nem curva de difusão; são cotas de ordem de grandeza.</w:t>
      </w:r>
    </w:p>
    <w:bookmarkEnd w:id="14"/>
    <w:bookmarkStart w:id="15" w:name="Xa86b9fd970ff5a6e335ef6eba0a8e613854b102"/>
    <w:p>
      <w:pPr>
        <w:pStyle w:val="Heading2"/>
      </w:pPr>
      <w:r>
        <w:t xml:space="preserve">Tabela S8 — Preço de neutralidade por estrato de probabilidade pré-teste, tabela completa (inclui os cenários omitidos da Tabela 2 do artigo)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</w:pPr>
            <w:r>
              <w:t xml:space="preserve">Comparador (premissa)</w:t>
            </w:r>
          </w:p>
        </w:tc>
        <w:tc>
          <w:tcPr/>
          <w:p>
            <w:pPr>
              <w:pStyle w:val="Compact"/>
            </w:pPr>
            <w:r>
              <w:t xml:space="preserve">C_substituído</w:t>
            </w:r>
          </w:p>
        </w:tc>
        <w:tc>
          <w:tcPr/>
          <w:p>
            <w:pPr>
              <w:pStyle w:val="Compact"/>
            </w:pPr>
            <w:r>
              <w:t xml:space="preserve">Só exames + cateterismo</w:t>
            </w:r>
          </w:p>
        </w:tc>
        <w:tc>
          <w:tcPr/>
          <w:p>
            <w:pPr>
              <w:pStyle w:val="Compact"/>
            </w:pPr>
            <w:r>
              <w:t xml:space="preserve">Com revascularização</w:t>
            </w:r>
          </w:p>
        </w:tc>
        <w:tc>
          <w:tcPr/>
          <w:p>
            <w:pPr>
              <w:pStyle w:val="Compact"/>
            </w:pPr>
            <w:r>
              <w:t xml:space="preserve">Δ exigido a R$ 550 (só exames)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Qualquer estrato, sem protocolo</w:t>
            </w:r>
          </w:p>
        </w:tc>
        <w:tc>
          <w:tcPr/>
          <w:p>
            <w:pPr>
              <w:pStyle w:val="Compact"/>
            </w:pPr>
            <w:r>
              <w:t xml:space="preserve">adoção aditiva (nada substituído)</w:t>
            </w:r>
          </w:p>
        </w:tc>
        <w:tc>
          <w:tcPr/>
          <w:p>
            <w:pPr>
              <w:pStyle w:val="Compact"/>
            </w:pPr>
            <w:r>
              <w:t xml:space="preserve">R$ 0</w:t>
            </w:r>
          </w:p>
        </w:tc>
        <w:tc>
          <w:tcPr/>
          <w:p>
            <w:pPr>
              <w:pStyle w:val="Compact"/>
            </w:pPr>
            <w:r>
              <w:t xml:space="preserve">R$ −46 a +30 (SCOT-HEART: −3 a +4)</w:t>
            </w:r>
          </w:p>
        </w:tc>
        <w:tc>
          <w:tcPr/>
          <w:p>
            <w:pPr>
              <w:pStyle w:val="Compact"/>
            </w:pPr>
            <w:r>
              <w:t xml:space="preserve">R$ −122 a −41 (revasc. do próprio SCOT-HEART)</w:t>
            </w:r>
          </w:p>
        </w:tc>
        <w:tc>
          <w:tcPr/>
          <w:p>
            <w:pPr>
              <w:pStyle w:val="Compact"/>
            </w:pPr>
            <w:r>
              <w:t xml:space="preserve">75,3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diferir / ajustar PPT (contrafactual sem teste)</w:t>
            </w:r>
          </w:p>
        </w:tc>
        <w:tc>
          <w:tcPr/>
          <w:p>
            <w:pPr>
              <w:pStyle w:val="Compact"/>
            </w:pPr>
            <w:r>
              <w:t xml:space="preserve">R$ 0</w:t>
            </w:r>
          </w:p>
        </w:tc>
        <w:tc>
          <w:tcPr/>
          <w:p>
            <w:pPr>
              <w:pStyle w:val="Compact"/>
            </w:pPr>
            <w:r>
              <w:t xml:space="preserve">teto R$ 0 (Δ ≤ 0 por construção)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teste ergométrico</w:t>
            </w:r>
          </w:p>
        </w:tc>
        <w:tc>
          <w:tcPr/>
          <w:p>
            <w:pPr>
              <w:pStyle w:val="Compact"/>
            </w:pPr>
            <w:r>
              <w:t xml:space="preserve">R$ 32,20</w:t>
            </w:r>
          </w:p>
        </w:tc>
        <w:tc>
          <w:tcPr/>
          <w:p>
            <w:pPr>
              <w:pStyle w:val="Compact"/>
            </w:pPr>
            <w:r>
              <w:t xml:space="preserve">R$ −14 a +62</w:t>
            </w:r>
          </w:p>
        </w:tc>
        <w:tc>
          <w:tcPr/>
          <w:p>
            <w:pPr>
              <w:pStyle w:val="Compact"/>
            </w:pPr>
            <w:r>
              <w:t xml:space="preserve">R$ −297 a −195</w:t>
            </w:r>
          </w:p>
        </w:tc>
        <w:tc>
          <w:tcPr/>
          <w:p>
            <w:pPr>
              <w:pStyle w:val="Compact"/>
            </w:pPr>
            <w:r>
              <w:t xml:space="preserve">70,9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estratificado (PICO submetido)</w:t>
            </w:r>
          </w:p>
        </w:tc>
        <w:tc>
          <w:tcPr/>
          <w:p>
            <w:pPr>
              <w:pStyle w:val="Compact"/>
            </w:pPr>
            <w:r>
              <w:t xml:space="preserve">mix médio do SIA</w:t>
            </w:r>
          </w:p>
        </w:tc>
        <w:tc>
          <w:tcPr/>
          <w:p>
            <w:pPr>
              <w:pStyle w:val="Compact"/>
            </w:pPr>
            <w:r>
              <w:t xml:space="preserve">R$ 185,46</w:t>
            </w:r>
          </w:p>
        </w:tc>
        <w:tc>
          <w:tcPr/>
          <w:p>
            <w:pPr>
              <w:pStyle w:val="Compact"/>
            </w:pPr>
            <w:r>
              <w:t xml:space="preserve">R$ 139 a 215</w:t>
            </w:r>
          </w:p>
        </w:tc>
        <w:tc>
          <w:tcPr/>
          <w:p>
            <w:pPr>
              <w:pStyle w:val="Compact"/>
            </w:pPr>
            <w:r>
              <w:t xml:space="preserve">R$ −144 a −42</w:t>
            </w:r>
          </w:p>
        </w:tc>
        <w:tc>
          <w:tcPr/>
          <w:p>
            <w:pPr>
              <w:pStyle w:val="Compact"/>
            </w:pPr>
            <w:r>
              <w:t xml:space="preserve">49,9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Intermediária, sensibilidade</w:t>
            </w:r>
          </w:p>
        </w:tc>
        <w:tc>
          <w:tcPr/>
          <w:p>
            <w:pPr>
              <w:pStyle w:val="Compact"/>
            </w:pPr>
            <w:r>
              <w:t xml:space="preserve">ecocardiografia de estresse</w:t>
            </w:r>
          </w:p>
        </w:tc>
        <w:tc>
          <w:tcPr/>
          <w:p>
            <w:pPr>
              <w:pStyle w:val="Compact"/>
            </w:pPr>
            <w:r>
              <w:t xml:space="preserve">R$ 196,39</w:t>
            </w:r>
          </w:p>
        </w:tc>
        <w:tc>
          <w:tcPr/>
          <w:p>
            <w:pPr>
              <w:pStyle w:val="Compact"/>
            </w:pPr>
            <w:r>
              <w:t xml:space="preserve">R$ 150 a 226</w:t>
            </w:r>
          </w:p>
        </w:tc>
        <w:tc>
          <w:tcPr/>
          <w:p>
            <w:pPr>
              <w:pStyle w:val="Compact"/>
            </w:pPr>
            <w:r>
              <w:t xml:space="preserve">R$ −133 a −31</w:t>
            </w:r>
          </w:p>
        </w:tc>
        <w:tc>
          <w:tcPr/>
          <w:p>
            <w:pPr>
              <w:pStyle w:val="Compact"/>
            </w:pPr>
            <w:r>
              <w:t xml:space="preserve">48,4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Intermediária, sensibilidade</w:t>
            </w:r>
          </w:p>
        </w:tc>
        <w:tc>
          <w:tcPr/>
          <w:p>
            <w:pPr>
              <w:pStyle w:val="Compact"/>
            </w:pPr>
            <w:r>
              <w:t xml:space="preserve">percurso do NATS por episódio</w:t>
            </w:r>
          </w:p>
        </w:tc>
        <w:tc>
          <w:tcPr/>
          <w:p>
            <w:pPr>
              <w:pStyle w:val="Compact"/>
            </w:pPr>
            <w:r>
              <w:t xml:space="preserve">R$ 523,81</w:t>
            </w:r>
          </w:p>
        </w:tc>
        <w:tc>
          <w:tcPr/>
          <w:p>
            <w:pPr>
              <w:pStyle w:val="Compact"/>
            </w:pPr>
            <w:r>
              <w:t xml:space="preserve">R$ 477 a 554</w:t>
            </w:r>
          </w:p>
        </w:tc>
        <w:tc>
          <w:tcPr/>
          <w:p>
            <w:pPr>
              <w:pStyle w:val="Compact"/>
            </w:pPr>
            <w:r>
              <w:t xml:space="preserve">R$ 195 a 297</w:t>
            </w:r>
          </w:p>
        </w:tc>
        <w:tc>
          <w:tcPr/>
          <w:p>
            <w:pPr>
              <w:pStyle w:val="Compact"/>
            </w:pPr>
            <w:r>
              <w:t xml:space="preserve">3,6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Intermediária, com protocolo (cenário-base do estrato)</w:t>
            </w:r>
          </w:p>
        </w:tc>
        <w:tc>
          <w:tcPr/>
          <w:p>
            <w:pPr>
              <w:pStyle w:val="Compact"/>
            </w:pPr>
            <w:r>
              <w:t xml:space="preserve">cintilografia de perfusão</w:t>
            </w:r>
          </w:p>
        </w:tc>
        <w:tc>
          <w:tcPr/>
          <w:p>
            <w:pPr>
              <w:pStyle w:val="Compact"/>
            </w:pPr>
            <w:r>
              <w:t xml:space="preserve">R$ 786,83</w:t>
            </w:r>
          </w:p>
        </w:tc>
        <w:tc>
          <w:tcPr/>
          <w:p>
            <w:pPr>
              <w:pStyle w:val="Compact"/>
            </w:pPr>
            <w:r>
              <w:t xml:space="preserve">R$ 741 a 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R$ 458 a 560</w:t>
            </w:r>
          </w:p>
        </w:tc>
        <w:tc>
          <w:tcPr/>
          <w:p>
            <w:pPr>
              <w:pStyle w:val="Compact"/>
            </w:pPr>
            <w:r>
              <w:t xml:space="preserve">já neutro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Intermediária, descritivo sem protocolo (sensibilidade)</w:t>
            </w:r>
          </w:p>
        </w:tc>
        <w:tc>
          <w:tcPr/>
          <w:p>
            <w:pPr>
              <w:pStyle w:val="Compact"/>
            </w:pPr>
            <w:r>
              <w:t xml:space="preserve">teste ergométrico seguido de imagem em fração p dos pacientes; teto p ≤ 0,31 pelos volumes do SIA (toda cintilografia e eco a jusante de um TE), imagem a R$ 679 em média</w:t>
            </w:r>
          </w:p>
        </w:tc>
        <w:tc>
          <w:tcPr/>
          <w:p>
            <w:pPr>
              <w:pStyle w:val="Compact"/>
            </w:pPr>
            <w:r>
              <w:t xml:space="preserve">≤ R$ 242,75</w:t>
            </w:r>
          </w:p>
        </w:tc>
        <w:tc>
          <w:tcPr/>
          <w:p>
            <w:pPr>
              <w:pStyle w:val="Compact"/>
            </w:pPr>
            <w:r>
              <w:t xml:space="preserve">≤ R$ 196 a 273</w:t>
            </w:r>
          </w:p>
        </w:tc>
        <w:tc>
          <w:tcPr/>
          <w:p>
            <w:pPr>
              <w:pStyle w:val="Compact"/>
            </w:pPr>
            <w:r>
              <w:t xml:space="preserve">≤ R$ −87 a +16</w:t>
            </w:r>
          </w:p>
        </w:tc>
        <w:tc>
          <w:tcPr/>
          <w:p>
            <w:pPr>
              <w:pStyle w:val="Compact"/>
            </w:pPr>
            <w:r>
              <w:t xml:space="preserve">≥ 42,1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Já indicado a cateterismo (outro PICO)</w:t>
            </w:r>
          </w:p>
        </w:tc>
        <w:tc>
          <w:tcPr/>
          <w:p>
            <w:pPr>
              <w:pStyle w:val="Compact"/>
            </w:pPr>
            <w:r>
              <w:t xml:space="preserve">cateterismo direto</w:t>
            </w:r>
          </w:p>
        </w:tc>
        <w:tc>
          <w:tcPr/>
          <w:p>
            <w:pPr>
              <w:pStyle w:val="Compact"/>
            </w:pPr>
            <w:r>
              <w:t xml:space="preserve">cancela</w:t>
            </w:r>
          </w:p>
        </w:tc>
        <w:tc>
          <w:tcPr/>
          <w:p>
            <w:pPr>
              <w:pStyle w:val="Compact"/>
            </w:pPr>
            <w:r>
              <w:t xml:space="preserve">R$ 482 a 625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R$ 841</w:t>
            </w:r>
            <w:r>
              <w:t xml:space="preserve"> </w:t>
            </w:r>
            <w:r>
              <w:t xml:space="preserve">(DISCHARGE) /</w:t>
            </w:r>
            <w:r>
              <w:t xml:space="preserve"> </w:t>
            </w:r>
            <w:r>
              <w:rPr>
                <w:b/>
                <w:bCs/>
              </w:rPr>
              <w:t xml:space="preserve">R$ 868</w:t>
            </w:r>
            <w:r>
              <w:t xml:space="preserve"> </w:t>
            </w:r>
            <w:r>
              <w:t xml:space="preserve">(CONSERVE)</w:t>
            </w:r>
          </w:p>
        </w:tc>
        <w:tc>
          <w:tcPr/>
          <w:p>
            <w:pPr>
              <w:pStyle w:val="Compact"/>
            </w:pPr>
            <w:r>
              <w:t xml:space="preserve">75,3</w:t>
            </w:r>
          </w:p>
        </w:tc>
      </w:tr>
    </w:tbl>
    <w:p>
      <w:pPr>
        <w:pStyle w:val="BodyText"/>
      </w:pPr>
      <w:r>
        <w:t xml:space="preserve">Fonte:</w:t>
      </w:r>
      <w:r>
        <w:t xml:space="preserve"> </w:t>
      </w:r>
      <w:r>
        <w:rPr>
          <w:rStyle w:val="VerbatimChar"/>
        </w:rPr>
        <w:t xml:space="preserve">analise_final.py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output/out-limiar-por-estrato.csv</w:t>
      </w:r>
      <w:r>
        <w:t xml:space="preserve">. Δ de cateterismo de primeira linha de −6,3 a +4,1 por 100. O débito de revascularização vem do PRECISE (+4,0/100) e de Foy 2017, 13 ensaios (+2,7/100, pareado com o Δ de cateterismo dos mesmos 13, −2,6), aplicados como envelope aos cenários de substituição; para a adoção aditiva usa-se a revascularização do próprio SCOT-HEART (+1,5/100 em 20 meses e +0,6/100 em 5 anos). O débito absoluto escala com a prevalência de doença: na probabilidade baixa, o envelope PRECISE/Foy (população intermediária) tende a superestimá-lo, sem alterar o sinal. Para o diferimento, o contrafactual não contém cateterismo diagnóstico, logo Δ ≤ 0 e o teto é R$ 0. O cenário descritivo supõe que todo exame de imagem funcional do SUS seja a jusante de um teste ergométrico: p = (151.784 cintilografias + 33.766 ecos) ÷ 598.695 ergometrias = 0,31 no máximo; é limite superior de volumes, não inferência ecológica sobre pacientes. Com C_CATE = R$ 772,80 (AIH), o filtro vai a R$ 510–662.</w:t>
      </w:r>
    </w:p>
    <w:bookmarkEnd w:id="15"/>
    <w:bookmarkStart w:id="19" w:name="X05dd9edbb78b2c2d75296e631ce095021c981ab"/>
    <w:p>
      <w:pPr>
        <w:pStyle w:val="Heading2"/>
      </w:pPr>
      <w:r>
        <w:t xml:space="preserve">Figura S1 — Análise de sensibilidade univariada (tornado)</w:t>
      </w:r>
    </w:p>
    <w:p>
      <w:pPr>
        <w:pStyle w:val="CaptionedFigure"/>
      </w:pPr>
      <w:r>
        <w:drawing>
          <wp:inline>
            <wp:extent cx="5334000" cy="4167805"/>
            <wp:effectExtent b="0" l="0" r="0" t="0"/>
            <wp:docPr descr="Figura S1" title="" id="17" name="Picture"/>
            <a:graphic>
              <a:graphicData uri="http://schemas.openxmlformats.org/drawingml/2006/picture">
                <pic:pic>
                  <pic:nvPicPr>
                    <pic:cNvPr descr="figuras/figS1-tornad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S1</w:t>
      </w:r>
    </w:p>
    <w:p>
      <w:pPr>
        <w:pStyle w:val="BodyText"/>
      </w:pPr>
      <w:r>
        <w:t xml:space="preserve">Variação de um parâmetro por vez sobre o preço de neutralidade. (A) primeira linha, intermediária com protocolo (cintilografia); caso-base R$ 520 (Δ_CATE −1,1, ponto médio de −6,3 a +4,1; Δ_revasc +3,35, ponto médio de PRECISE e Foy; revascularização valorada como angioplastia). (B) filtro pré-cateterismo (DISCHARGE); caso-base R$ 841. Faixas: C_substituído R$ 0–787; Δ_CATE −6,3 a +4,1 (66,0 a 85,6 no filtro); Δ_revasc 0 a +4,0 (0 a −5,0 no filtro); C_revasc R$ 7.713 (angioplastia) a R$ 8.935 (mix do PRECISE, 93% angioplastia e 7% cirurgia); C_CATE R$ 730,14 a R$ 772,80. O exame substituído domina a primeira linha; no filtro, o crédito de revascularização e o Δ de cateterismo. Gerada por</w:t>
      </w:r>
      <w:r>
        <w:t xml:space="preserve"> </w:t>
      </w:r>
      <w:r>
        <w:rPr>
          <w:rStyle w:val="VerbatimChar"/>
        </w:rPr>
        <w:t xml:space="preserve">gera_figuras.py</w:t>
      </w:r>
      <w:r>
        <w:t xml:space="preserve">.</w:t>
      </w:r>
    </w:p>
    <w:bookmarkEnd w:id="19"/>
    <w:bookmarkStart w:id="20" w:name="Xca3befeb4d83738f73b532816464b7af188645a"/>
    <w:p>
      <w:pPr>
        <w:pStyle w:val="Heading2"/>
      </w:pPr>
      <w:r>
        <w:t xml:space="preserve">Texto S1 — Desenho mínimo do microcusteio proposto</w:t>
      </w:r>
    </w:p>
    <w:p>
      <w:pPr>
        <w:pStyle w:val="FirstParagraph"/>
      </w:pPr>
      <w:r>
        <w:t xml:space="preserve">A limitação metodológica mais importante é a assimetria: a angioTC entra microcusteada (2022, corrigida) ou pelo preço proposto, e os comparadores e o cateterismo entram por tabela. Não trava a conclusão — o sinal da Tabela 2 do artigo depende de razões de preço que um microcusteio dificilmente inverteria na baixa, e a direção na intermediária já é declarada como incerta —, mas um revisor a apontará, com razão. Declara-se, portanto, como agenda, com o desenho mínimo que a corrigiria: microcusteio</w:t>
      </w:r>
      <w:r>
        <w:t xml:space="preserve"> </w:t>
      </w:r>
      <w:r>
        <w:rPr>
          <w:i/>
          <w:iCs/>
        </w:rPr>
        <w:t xml:space="preserve">bottom-up</w:t>
      </w:r>
      <w:r>
        <w:t xml:space="preserve"> </w:t>
      </w:r>
      <w:r>
        <w:t xml:space="preserve">na perspectiva do prestador — incluindo contraste iodado (o código de contraste tem faturamento zero: R$ 550 tem de embutir contraste, bomba injetora e acesso venoso), betabloqueador e nitrato para controle de frequência (condição de exame diagnóstico em 64 canais; exame não diagnóstico é cateterismo induzido; insumos cujo custo oscila com a oferta — o desabastecimento de betabloqueador injetável em 2026 é o exemplo corrente — e que o preço proposto de R$ 550 não declara embutir) —, pelo método de custeio baseado em atividades e tempo (TDABC) ou por absorção — um só método, escolhido a priori conforme a Diretriz Metodológica de Estudos de Microcusteio do Ministério da Saúde (referência 29 do artigo) —,</w:t>
      </w:r>
      <w:r>
        <w:t xml:space="preserve"> </w:t>
      </w:r>
      <w:r>
        <w:rPr>
          <w:b/>
          <w:bCs/>
        </w:rPr>
        <w:t xml:space="preserve">da angioTC e dos comparadores no mesmo serviço</w:t>
      </w:r>
      <w:r>
        <w:t xml:space="preserve"> </w:t>
      </w:r>
      <w:r>
        <w:t xml:space="preserve">(teste ergométrico, ecocardiografia de estresse, cintilografia de perfusão em estresse e repouso, cateterismo diagnóstico), em ao menos</w:t>
      </w:r>
      <w:r>
        <w:t xml:space="preserve"> </w:t>
      </w:r>
      <w:r>
        <w:rPr>
          <w:b/>
          <w:bCs/>
        </w:rPr>
        <w:t xml:space="preserve">oito serviços do SUS</w:t>
      </w:r>
      <w:r>
        <w:t xml:space="preserve">, cobrindo as cinco regiões e as três naturezas (público, filantrópico, universitário) sem exigir célula cheia e incluindo serviços do estrato pronto de 79. Componentes: depreciação e manutenção do equipamento (tomógrafo ≥64 canais, gama-câmara, ecocardiógrafo, sala de hemodinâmica); insumos por exame (contraste iodado, betabloqueador e nitrato, radiofármaco, kits e materiais de hemodinâmica); tempo de sala e de pessoal por etapa (preparo, aquisição, pós-processamento, laudo, enfermagem, técnico, médico executor); software e estação de trabalho; rateio administrativo;</w:t>
      </w:r>
      <w:r>
        <w:t xml:space="preserve"> </w:t>
      </w:r>
      <w:r>
        <w:rPr>
          <w:b/>
          <w:bCs/>
        </w:rPr>
        <w:t xml:space="preserve">exames não diagnósticos e repetições</w:t>
      </w:r>
      <w:r>
        <w:t xml:space="preserve"> </w:t>
      </w:r>
      <w:r>
        <w:t xml:space="preserve">(que diluem o custo por diagnóstico útil); e, decisivamente,</w:t>
      </w:r>
      <w:r>
        <w:t xml:space="preserve"> </w:t>
      </w:r>
      <w:r>
        <w:rPr>
          <w:b/>
          <w:bCs/>
        </w:rPr>
        <w:t xml:space="preserve">a dependência do custo unitário do volume</w:t>
      </w:r>
      <w:r>
        <w:t xml:space="preserve"> </w:t>
      </w:r>
      <w:r>
        <w:t xml:space="preserve">— custo fixo dividido por</w:t>
      </w:r>
      <w:r>
        <w:t xml:space="preserve"> </w:t>
      </w:r>
      <w:r>
        <w:rPr>
          <w:i/>
          <w:iCs/>
        </w:rPr>
        <w:t xml:space="preserve">throughput</w:t>
      </w:r>
      <w:r>
        <w:t xml:space="preserve">, que decide se um tomógrafo do estrato pronto absorve a angioTC à margem ou exige turno adicional. Custo do prestador não é preço do pagador; o estudo deve reportar ambos. Um estudo desse porte custa uma fração da incerteza que resolve, e é condição para qualquer análise econômica simétrica — inclusive a do demandante.</w:t>
      </w:r>
    </w:p>
    <w:bookmarkEnd w:id="20"/>
    <w:bookmarkStart w:id="21" w:name="X1b5101b4a03693c888b04ae9ccbd7533df605c4"/>
    <w:p>
      <w:pPr>
        <w:pStyle w:val="Heading2"/>
      </w:pPr>
      <w:r>
        <w:t xml:space="preserve">Texto S2 — Regras de análise pré-registradas e emendas declaradas</w:t>
      </w:r>
    </w:p>
    <w:bookmarkEnd w:id="21"/>
    <w:bookmarkEnd w:id="22"/>
    <w:bookmarkStart w:id="28" w:name="X98c5f0fb62d25997b6a425570ded096f36688df"/>
    <w:p>
      <w:pPr>
        <w:pStyle w:val="Heading1"/>
      </w:pPr>
      <w:r>
        <w:t xml:space="preserve">Regras de análise fixadas antes de olhar o dado</w:t>
      </w:r>
    </w:p>
    <w:p>
      <w:pPr>
        <w:pStyle w:val="FirstParagraph"/>
      </w:pPr>
      <w:r>
        <w:t xml:space="preserve">Registradas em 16/08/2026 com a extração das OCI em 72%, para evitar o padrão dos</w:t>
      </w:r>
      <w:r>
        <w:t xml:space="preserve"> </w:t>
      </w:r>
      <w:r>
        <w:t xml:space="preserve">três erros anteriores (fórmula correta aplicada fora do domínio).</w:t>
      </w:r>
    </w:p>
    <w:bookmarkStart w:id="23" w:name="unidade-de-análise-episódio-remunerado"/>
    <w:p>
      <w:pPr>
        <w:pStyle w:val="Heading2"/>
      </w:pPr>
      <w:r>
        <w:t xml:space="preserve">Unidade de análise: episódio remunerado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OCI como episódio principal.</w:t>
      </w:r>
      <w:r>
        <w:t xml:space="preserve"> </w:t>
      </w:r>
      <w:r>
        <w:t xml:space="preserve">Se a OCI (</w:t>
      </w:r>
      <w:r>
        <w:rPr>
          <w:rStyle w:val="VerbatimChar"/>
        </w:rPr>
        <w:t xml:space="preserve">0902*</w:t>
      </w:r>
      <w:r>
        <w:t xml:space="preserve">) é registrada como procedimento</w:t>
      </w:r>
      <w:r>
        <w:t xml:space="preserve"> </w:t>
      </w:r>
      <w:r>
        <w:t xml:space="preserve">principal e os componentes aparecem com valor zerado, o custo do episódio é o</w:t>
      </w:r>
      <w:r>
        <w:t xml:space="preserve"> </w:t>
      </w:r>
      <w:r>
        <w:t xml:space="preserve">valor da OCI.</w:t>
      </w:r>
      <w:r>
        <w:t xml:space="preserve"> </w:t>
      </w:r>
      <w:r>
        <w:rPr>
          <w:b/>
          <w:bCs/>
        </w:rPr>
        <w:t xml:space="preserve">Os componentes não são somados novamente.</w:t>
      </w:r>
      <w:r>
        <w:t xml:space="preserve"> </w:t>
      </w:r>
      <w:r>
        <w:t xml:space="preserve">Confirmado no PA:</w:t>
      </w:r>
      <w:r>
        <w:t xml:space="preserve"> </w:t>
      </w:r>
      <w:r>
        <w:t xml:space="preserve">963 ergometrias, 832 cintilografias e 134 ecos de estresse com</w:t>
      </w:r>
      <w:r>
        <w:t xml:space="preserve"> </w:t>
      </w:r>
      <w:r>
        <w:rPr>
          <w:rStyle w:val="VerbatimChar"/>
        </w:rPr>
        <w:t xml:space="preserve">PA_VALAPR = 0</w:t>
      </w:r>
      <w:r>
        <w:t xml:space="preserve"> </w:t>
      </w:r>
      <w:r>
        <w:t xml:space="preserve">em 25 UFs — o mecanismo APAC previsto na regulamentação está no dado.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Procedimentos isolados fora da OCI</w:t>
      </w:r>
      <w:r>
        <w:t xml:space="preserve"> </w:t>
      </w:r>
      <w:r>
        <w:t xml:space="preserve">continuam entrando separadamente no mix,</w:t>
      </w:r>
      <w:r>
        <w:t xml:space="preserve"> </w:t>
      </w:r>
      <w:r>
        <w:t xml:space="preserve">pareados por episódio (cintilografia estresse + repouso = 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Dois pathways, reportados separadamente e depois ponderados:</w:t>
      </w:r>
    </w:p>
    <w:p>
      <w:pPr>
        <w:pStyle w:val="Compact"/>
        <w:numPr>
          <w:ilvl w:val="1"/>
          <w:numId w:val="1002"/>
        </w:numPr>
      </w:pPr>
      <w:r>
        <w:t xml:space="preserve">legacy pathway: custo médio dos episódios fora da OCI</w:t>
      </w:r>
    </w:p>
    <w:p>
      <w:pPr>
        <w:pStyle w:val="Compact"/>
        <w:numPr>
          <w:ilvl w:val="1"/>
          <w:numId w:val="1002"/>
        </w:numPr>
      </w:pPr>
      <w:r>
        <w:t xml:space="preserve">OCI pathway: custo médio das linhas organizadas de SCC (0034/0042/0050)</w:t>
      </w:r>
    </w:p>
    <w:p>
      <w:pPr>
        <w:pStyle w:val="Compact"/>
        <w:numPr>
          <w:ilvl w:val="1"/>
          <w:numId w:val="1002"/>
        </w:numPr>
      </w:pPr>
      <w:r>
        <w:t xml:space="preserve">ponderado nacional: intercepto da reta de primeira linha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intercepto só entra na reta de primeira linha.</w:t>
      </w:r>
      <w:r>
        <w:t xml:space="preserve"> </w:t>
      </w:r>
      <w:r>
        <w:t xml:space="preserve">No gatekeeping o custo</w:t>
      </w:r>
      <w:r>
        <w:t xml:space="preserve"> </w:t>
      </w:r>
      <w:r>
        <w:t xml:space="preserve">prévio é comum aos braços e cancela — a reta inferior não muda com as OCI.</w:t>
      </w:r>
    </w:p>
    <w:bookmarkEnd w:id="23"/>
    <w:bookmarkStart w:id="24" w:name="desfecho-econômico-cateterismo-total"/>
    <w:p>
      <w:pPr>
        <w:pStyle w:val="Heading2"/>
      </w:pPr>
      <w:r>
        <w:t xml:space="preserve">Desfecho econômico: cateterismo total</w:t>
      </w:r>
    </w:p>
    <w:p>
      <w:pPr>
        <w:numPr>
          <w:ilvl w:val="0"/>
          <w:numId w:val="1003"/>
        </w:numPr>
      </w:pPr>
      <w:r>
        <w:t xml:space="preserve">Todo Δ da figura de neutralidade é</w:t>
      </w:r>
      <w:r>
        <w:t xml:space="preserve"> </w:t>
      </w:r>
      <w:r>
        <w:rPr>
          <w:b/>
          <w:bCs/>
        </w:rPr>
        <w:t xml:space="preserve">cateterismo total por braço randomizado</w:t>
      </w:r>
      <w:r>
        <w:t xml:space="preserve">.</w:t>
      </w:r>
      <w:r>
        <w:t xml:space="preserve"> </w:t>
      </w:r>
      <w:r>
        <w:t xml:space="preserve">Cateterismo sem DAC obstrutiva é eficiência diagnóstica, seção própria, fora</w:t>
      </w:r>
      <w:r>
        <w:t xml:space="preserve"> </w:t>
      </w:r>
      <w:r>
        <w:t xml:space="preserve">do cálculo.</w:t>
      </w:r>
    </w:p>
    <w:p>
      <w:pPr>
        <w:numPr>
          <w:ilvl w:val="0"/>
          <w:numId w:val="1003"/>
        </w:numPr>
      </w:pPr>
      <w:r>
        <w:t xml:space="preserve">Cada Δ carrega sua janela temporal. Os pontos não são metanálise.</w:t>
      </w:r>
    </w:p>
    <w:bookmarkEnd w:id="24"/>
    <w:bookmarkStart w:id="25" w:name="auditoria-final-após-a-extração-fechar"/>
    <w:p>
      <w:pPr>
        <w:pStyle w:val="Heading2"/>
      </w:pPr>
      <w:r>
        <w:t xml:space="preserve">Auditoria final (após a extração fechar)</w:t>
      </w:r>
    </w:p>
    <w:p>
      <w:pPr>
        <w:pStyle w:val="FirstParagraph"/>
      </w:pPr>
      <w:r>
        <w:t xml:space="preserve">Exclusivamente de</w:t>
      </w:r>
      <w:r>
        <w:t xml:space="preserve"> </w:t>
      </w:r>
      <w:r>
        <w:rPr>
          <w:b/>
          <w:bCs/>
        </w:rPr>
        <w:t xml:space="preserve">unidades de análise e dupla contagem</w:t>
      </w:r>
      <w:r>
        <w:t xml:space="preserve">. Não buscar novos desfechos.</w:t>
      </w:r>
    </w:p>
    <w:bookmarkEnd w:id="25"/>
    <w:bookmarkStart w:id="26" w:name="X01aa85bda2b6c630b0c6fe639edf34582dba517"/>
    <w:p>
      <w:pPr>
        <w:pStyle w:val="Heading2"/>
      </w:pPr>
      <w:r>
        <w:t xml:space="preserve">Emendas posteriores (não pré-registradas — declaradas como tal)</w:t>
      </w:r>
    </w:p>
    <w:p>
      <w:pPr>
        <w:pStyle w:val="FirstParagraph"/>
      </w:pPr>
      <w:r>
        <w:rPr>
          <w:b/>
          <w:bCs/>
        </w:rPr>
        <w:t xml:space="preserve">v5, 16/08/2026, após leitura da v4 pelo coautor sênior.</w:t>
      </w:r>
      <w:r>
        <w:t xml:space="preserve"> </w:t>
      </w:r>
      <w:r>
        <w:t xml:space="preserve">Nenhuma equação, código,</w:t>
      </w:r>
      <w:r>
        <w:t xml:space="preserve"> </w:t>
      </w:r>
      <w:r>
        <w:t xml:space="preserve">janela ou desfecho mudou. Duas apresentações novas dos mesmos parâmetros: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Cenário</w:t>
      </w:r>
      <w:r>
        <w:rPr>
          <w:b/>
          <w:bCs/>
        </w:rPr>
        <w:t xml:space="preserve"> </w:t>
      </w:r>
      <w:r>
        <w:rPr>
          <w:b/>
          <w:bCs/>
        </w:rPr>
        <w:t xml:space="preserve">“adoção aditiva (sem protocolo)”</w:t>
      </w:r>
      <w:r>
        <w:t xml:space="preserve">:</w:t>
      </w:r>
      <w:r>
        <w:t xml:space="preserve"> </w:t>
      </w:r>
      <w:r>
        <w:rPr>
          <w:rStyle w:val="VerbatimChar"/>
        </w:rPr>
        <w:t xml:space="preserve">C_substituído = 0</w:t>
      </w:r>
      <w:r>
        <w:t xml:space="preserve"> </w:t>
      </w:r>
      <w:r>
        <w:t xml:space="preserve">— a angiotomografia</w:t>
      </w:r>
      <w:r>
        <w:t xml:space="preserve"> </w:t>
      </w:r>
      <w:r>
        <w:t xml:space="preserve">somada ao percurso atual, sem substituir exame. Algebricamente é a equação de</w:t>
      </w:r>
      <w:r>
        <w:t xml:space="preserve"> </w:t>
      </w:r>
      <w:r>
        <w:t xml:space="preserve">gatekeeping com o Δ dos ensaios de primeira linha. Motivo: sem código SIGTAP e sem</w:t>
      </w:r>
      <w:r>
        <w:t xml:space="preserve"> </w:t>
      </w:r>
      <w:r>
        <w:t xml:space="preserve">protocolo vinculante, é o cenário de adoção mais provável, e estava implícito</w:t>
      </w:r>
      <w:r>
        <w:t xml:space="preserve"> </w:t>
      </w:r>
      <w:r>
        <w:t xml:space="preserve">(SCOT-HEART</w:t>
      </w:r>
      <w:r>
        <w:t xml:space="preserve"> </w:t>
      </w:r>
      <w:r>
        <w:t xml:space="preserve">“à parte”</w:t>
      </w:r>
      <w:r>
        <w:t xml:space="preserve">) em vez de nomeado. Sexto cenário da Tabela 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Estratificação por probabilidade pré-teste como premissa declarada</w:t>
      </w:r>
      <w:r>
        <w:t xml:space="preserve">: baixa →</w:t>
      </w:r>
      <w:r>
        <w:t xml:space="preserve"> </w:t>
      </w:r>
      <w:r>
        <w:t xml:space="preserve">comparador realista</w:t>
      </w:r>
      <w:r>
        <w:t xml:space="preserve"> </w:t>
      </w:r>
      <w:r>
        <w:t xml:space="preserve">“nenhum exame”</w:t>
      </w:r>
      <w:r>
        <w:t xml:space="preserve"> </w:t>
      </w:r>
      <w:r>
        <w:t xml:space="preserve">(diferir/ajustar PPT/escore de cálcio) ou</w:t>
      </w:r>
      <w:r>
        <w:t xml:space="preserve"> </w:t>
      </w:r>
      <w:r>
        <w:t xml:space="preserve">ergometria; intermediária → ecocardiografia de estresse ou cintilografia (ou o</w:t>
      </w:r>
      <w:r>
        <w:t xml:space="preserve"> </w:t>
      </w:r>
      <w:r>
        <w:t xml:space="preserve">percurso do NATS por episódio); mix médio do SIA = PICO como submetido, sem</w:t>
      </w:r>
      <w:r>
        <w:t xml:space="preserve"> </w:t>
      </w:r>
      <w:r>
        <w:t xml:space="preserve">estratificar. O SIA não distingue estratos; o modelo distingue por premissa. O</w:t>
      </w:r>
      <w:r>
        <w:t xml:space="preserve"> </w:t>
      </w:r>
      <w:r>
        <w:t xml:space="preserve">débito de revascularização (PRECISE, Foy 2017) passa a ser aplicado 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</w:t>
      </w:r>
      <w:r>
        <w:t xml:space="preserve"> </w:t>
      </w:r>
      <w:r>
        <w:t xml:space="preserve">cenários de primeira linha, não só ao mais favorável.</w:t>
      </w:r>
    </w:p>
    <w:p>
      <w:pPr>
        <w:pStyle w:val="FirstParagraph"/>
      </w:pPr>
      <w:r>
        <w:rPr>
          <w:b/>
          <w:bCs/>
        </w:rPr>
        <w:t xml:space="preserve">v5.1, 16/08/2026, após a terceira rodada cega.</w:t>
      </w:r>
      <w:r>
        <w:t xml:space="preserve"> </w:t>
      </w:r>
      <w:r>
        <w:t xml:space="preserve">Correções de proveniência e pareamento,</w:t>
      </w:r>
      <w:r>
        <w:t xml:space="preserve"> </w:t>
      </w:r>
      <w:r>
        <w:t xml:space="preserve">sem mudança de equação: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SCOT-HEART com os dados primários</w:t>
      </w:r>
      <w:r>
        <w:t xml:space="preserve">: cateterismo 409 vs 401 (JACC 2016, mediana</w:t>
      </w:r>
      <w:r>
        <w:t xml:space="preserve"> </w:t>
      </w:r>
      <w:r>
        <w:t xml:space="preserve">20 meses) e 491 vs 502 (NEJM 2018, 5 anos); revascularização 233 vs 201 e 279 vs 267.</w:t>
      </w:r>
      <w:r>
        <w:t xml:space="preserve"> </w:t>
      </w:r>
      <w:r>
        <w:t xml:space="preserve">O valor</w:t>
      </w:r>
      <w:r>
        <w:t xml:space="preserve"> </w:t>
      </w:r>
      <w:r>
        <w:t xml:space="preserve">“17,5% vs 16,3% aos 6 meses”</w:t>
      </w:r>
      <w:r>
        <w:t xml:space="preserve"> </w:t>
      </w:r>
      <w:r>
        <w:t xml:space="preserve">usado até a v5 não tem proveniência nas</w:t>
      </w:r>
      <w:r>
        <w:t xml:space="preserve"> </w:t>
      </w:r>
      <w:r>
        <w:t xml:space="preserve">publicações primárias e foi retirado. Para o cenário aditivo, a revascularização é a</w:t>
      </w:r>
      <w:r>
        <w:t xml:space="preserve"> </w:t>
      </w:r>
      <w:r>
        <w:t xml:space="preserve">do próprio SCOT-HEART, não o envelope PRECISE/Foy.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CONSERVE entra na revascularização</w:t>
      </w:r>
      <w:r>
        <w:t xml:space="preserve"> </w:t>
      </w:r>
      <w:r>
        <w:t xml:space="preserve">(13% vs 18%, abstract) como segundo ensaio de</w:t>
      </w:r>
      <w:r>
        <w:t xml:space="preserve"> </w:t>
      </w:r>
      <w:r>
        <w:t xml:space="preserve">gatekeeping com crédito (R$ 868), ao lado do DISCHARGE (R$ 841).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Foy 2017 pareado 13-com-13</w:t>
      </w:r>
      <w:r>
        <w:t xml:space="preserve">: o Δ de cateterismo dos 13 ensaios (−2,6) acompanha a</w:t>
      </w:r>
      <w:r>
        <w:t xml:space="preserve"> </w:t>
      </w:r>
      <w:r>
        <w:t xml:space="preserve">revascularização dos mesmos 13 (7,2% vs 4,5%); o subgrupo estável (−2,9) continua na</w:t>
      </w:r>
      <w:r>
        <w:t xml:space="preserve"> </w:t>
      </w:r>
      <w:r>
        <w:t xml:space="preserve">faixa de Δ, mas não é pareado com revascularização de outra população.</w:t>
      </w:r>
    </w:p>
    <w:p>
      <w:pPr>
        <w:pStyle w:val="Compact"/>
        <w:numPr>
          <w:ilvl w:val="0"/>
          <w:numId w:val="1005"/>
        </w:numPr>
      </w:pPr>
      <w:r>
        <w:t xml:space="preserve">Revascularização sem desagregação angioplastia/cirurgia é valorada como angioplastia;</w:t>
      </w:r>
      <w:r>
        <w:t xml:space="preserve"> </w:t>
      </w:r>
      <w:r>
        <w:t xml:space="preserve">débitos de primeira linha incluem CRM (PRECISE) — assimetria conservadora contra o</w:t>
      </w:r>
      <w:r>
        <w:t xml:space="preserve"> </w:t>
      </w:r>
      <w:r>
        <w:t xml:space="preserve">gatekeeping, declarada.</w:t>
      </w:r>
    </w:p>
    <w:p>
      <w:pPr>
        <w:pStyle w:val="Compact"/>
        <w:numPr>
          <w:ilvl w:val="0"/>
          <w:numId w:val="1005"/>
        </w:numPr>
      </w:pPr>
      <w:r>
        <w:t xml:space="preserve">Cotas anuais ancoradas no volume que cada cenário pode substituir (cintilografia</w:t>
      </w:r>
      <w:r>
        <w:t xml:space="preserve"> </w:t>
      </w:r>
      <w:r>
        <w:t xml:space="preserve">sobre 151.784, não sobre 787.954) e expressas também por 100 mil pacientes.</w:t>
      </w:r>
    </w:p>
    <w:p>
      <w:pPr>
        <w:pStyle w:val="FirstParagraph"/>
      </w:pPr>
      <w:r>
        <w:rPr>
          <w:b/>
          <w:bCs/>
        </w:rPr>
        <w:t xml:space="preserve">v5.2, 17/08/2026, após leitura no papel de coautor.</w:t>
      </w:r>
      <w:r>
        <w:t xml:space="preserve"> </w:t>
      </w:r>
      <w:r>
        <w:t xml:space="preserve">Sem mudança de equação: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Cenário descritivo da intermediária sem protocolo:</w:t>
      </w:r>
      <w:r>
        <w:t xml:space="preserve"> </w:t>
      </w:r>
      <w:r>
        <w:t xml:space="preserve">teste ergométrico seguido de</w:t>
      </w:r>
      <w:r>
        <w:t xml:space="preserve"> </w:t>
      </w:r>
      <w:r>
        <w:t xml:space="preserve">imagem funcional em fração p dos pacientes; p tem teto pelos volumes do SIA,</w:t>
      </w:r>
      <w:r>
        <w:t xml:space="preserve"> </w:t>
      </w:r>
      <w:r>
        <w:t xml:space="preserve">p ≤ (cintilografias + ecos) ÷ ergometrias = 0,31 (supõe toda imagem a jusante de um TE),</w:t>
      </w:r>
      <w:r>
        <w:t xml:space="preserve"> </w:t>
      </w:r>
      <w:r>
        <w:t xml:space="preserve">com a imagem ao preço médio ponderado (R$ 679): C ≤ R$ 242,75. É limite superior de</w:t>
      </w:r>
      <w:r>
        <w:t xml:space="preserve"> </w:t>
      </w:r>
      <w:r>
        <w:t xml:space="preserve">volumes, não inferência ecológica sobre pacientes. Sensibilidade, não cenário-base.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Recalibração das premissas por estrato (juízo clínico declarado):</w:t>
      </w:r>
      <w:r>
        <w:t xml:space="preserve"> </w:t>
      </w:r>
      <w:r>
        <w:t xml:space="preserve">baixa = ergometria</w:t>
      </w:r>
      <w:r>
        <w:t xml:space="preserve"> </w:t>
      </w:r>
      <w:r>
        <w:t xml:space="preserve">(o</w:t>
      </w:r>
      <w:r>
        <w:t xml:space="preserve"> </w:t>
      </w:r>
      <w:r>
        <w:t xml:space="preserve">“nenhum exame”</w:t>
      </w:r>
      <w:r>
        <w:t xml:space="preserve"> </w:t>
      </w:r>
      <w:r>
        <w:t xml:space="preserve">é normativo; diferimento vira nota, teto R$ 0); aditiva = cenário de</w:t>
      </w:r>
      <w:r>
        <w:t xml:space="preserve"> </w:t>
      </w:r>
      <w:r>
        <w:t xml:space="preserve">referência de qualquer estrato sem protocolo (linha própria); intermediária com</w:t>
      </w:r>
      <w:r>
        <w:t xml:space="preserve"> </w:t>
      </w:r>
      <w:r>
        <w:t xml:space="preserve">protocolo = cintilografia (cenário-base); eco e NATS = sensibilidade.</w:t>
      </w:r>
    </w:p>
    <w:bookmarkEnd w:id="26"/>
    <w:bookmarkStart w:id="27" w:name="checklist-cheers-2022"/>
    <w:p>
      <w:pPr>
        <w:pStyle w:val="Heading2"/>
      </w:pPr>
      <w:r>
        <w:t xml:space="preserve">Checklist CHEERS 2022</w:t>
      </w:r>
    </w:p>
    <w:p>
      <w:pPr>
        <w:pStyle w:val="FirstParagraph"/>
      </w:pPr>
      <w:r>
        <w:t xml:space="preserve">Correspondência item a item com a nomenclatura oficial (Husereau et al., Value Health 2022;25:3-9).</w:t>
      </w:r>
      <w:r>
        <w:t xml:space="preserve"> </w:t>
      </w:r>
      <w:r>
        <w:t xml:space="preserve">“NA”</w:t>
      </w:r>
      <w:r>
        <w:t xml:space="preserve"> </w:t>
      </w:r>
      <w:r>
        <w:t xml:space="preserve">= não aplicável a uma análise de limiar de curto prazo que não agrega desfechos em saúde.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Onde está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Título (</w:t>
            </w:r>
            <w:r>
              <w:t xml:space="preserve">“limiar orçamentário”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Resumo</w:t>
            </w:r>
          </w:p>
        </w:tc>
        <w:tc>
          <w:tcPr/>
          <w:p>
            <w:pPr>
              <w:pStyle w:val="Compact"/>
            </w:pPr>
            <w:r>
              <w:t xml:space="preserve">Resumo estruturado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Contexto e objetivos</w:t>
            </w:r>
          </w:p>
        </w:tc>
        <w:tc>
          <w:tcPr/>
          <w:p>
            <w:pPr>
              <w:pStyle w:val="Compact"/>
            </w:pPr>
            <w:r>
              <w:t xml:space="preserve">Introdução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Plano de análise econômica</w:t>
            </w:r>
          </w:p>
        </w:tc>
        <w:tc>
          <w:tcPr/>
          <w:p>
            <w:pPr>
              <w:pStyle w:val="Compact"/>
            </w:pPr>
            <w:r>
              <w:t xml:space="preserve">Texto S2 (regras pré-registradas e emendas declaradas)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População do estudo</w:t>
            </w:r>
          </w:p>
        </w:tc>
        <w:tc>
          <w:tcPr/>
          <w:p>
            <w:pPr>
              <w:pStyle w:val="Compact"/>
            </w:pPr>
            <w:r>
              <w:t xml:space="preserve">Métodos (PICOs; estratos de probabilidade pré-teste como premissa)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Setting e localização</w:t>
            </w:r>
          </w:p>
        </w:tc>
        <w:tc>
          <w:tcPr/>
          <w:p>
            <w:pPr>
              <w:pStyle w:val="Compact"/>
            </w:pPr>
            <w:r>
              <w:t xml:space="preserve">Métodos (SUS, 27 UFs,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Comparadores</w:t>
            </w:r>
          </w:p>
        </w:tc>
        <w:tc>
          <w:tcPr/>
          <w:p>
            <w:pPr>
              <w:pStyle w:val="Compact"/>
            </w:pPr>
            <w:r>
              <w:t xml:space="preserve">Métodos (seis cenários de C_substituído; dois PICOs); Tabelas 2 e 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Perspectiva</w:t>
            </w:r>
          </w:p>
        </w:tc>
        <w:tc>
          <w:tcPr/>
          <w:p>
            <w:pPr>
              <w:pStyle w:val="Compact"/>
            </w:pPr>
            <w:r>
              <w:t xml:space="preserve">Métodos (SUS como pagador)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Horizonte temporal</w:t>
            </w:r>
          </w:p>
        </w:tc>
        <w:tc>
          <w:tcPr/>
          <w:p>
            <w:pPr>
              <w:pStyle w:val="Compact"/>
            </w:pPr>
            <w:r>
              <w:t xml:space="preserve">Métodos (curto prazo: episódio diagnóstico e desfechos invasivos imediatos)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Taxa de desconto</w:t>
            </w:r>
          </w:p>
        </w:tc>
        <w:tc>
          <w:tcPr/>
          <w:p>
            <w:pPr>
              <w:pStyle w:val="Compact"/>
            </w:pPr>
            <w:r>
              <w:t xml:space="preserve">Sem desconto: os Δ de cateterismo têm janelas de 90 dias a 18 meses; o cenário aditivo usa a revascularização do SCOT-HEART a 20 meses e 5 anos sem desconto, com magnitude pequena (+0,6/100) e efeito do desconto desprezível, declarado aqui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Seleção de desfechos</w:t>
            </w:r>
          </w:p>
        </w:tc>
        <w:tc>
          <w:tcPr/>
          <w:p>
            <w:pPr>
              <w:pStyle w:val="Compact"/>
            </w:pPr>
            <w:r>
              <w:t xml:space="preserve">Métodos (cateterismo total e revascularização; cateterismo sem DAC obstrutiva fora do cálculo)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Medida dos desfechos</w:t>
            </w:r>
          </w:p>
        </w:tc>
        <w:tc>
          <w:tcPr/>
          <w:p>
            <w:pPr>
              <w:pStyle w:val="Compact"/>
            </w:pPr>
            <w:r>
              <w:t xml:space="preserve">Métodos (Δ por braço randomizado; Tabela S4)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Valoração dos desfechos</w:t>
            </w:r>
          </w:p>
        </w:tc>
        <w:tc>
          <w:tcPr/>
          <w:p>
            <w:pPr>
              <w:pStyle w:val="Compact"/>
            </w:pPr>
            <w:r>
              <w:t xml:space="preserve">NA (sem QALY; desfechos valorados apenas como custos evitados/induzidos)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Medida e valoração de recursos e custos</w:t>
            </w:r>
          </w:p>
        </w:tc>
        <w:tc>
          <w:tcPr/>
          <w:p>
            <w:pPr>
              <w:pStyle w:val="Compact"/>
            </w:pPr>
            <w:r>
              <w:t xml:space="preserve">Métodos e Resultados (SIA/SIH/SIGTAP; preços pagos, não custos; assimetria declarada nas Limitações)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Moeda, data de preços e conversão</w:t>
            </w:r>
          </w:p>
        </w:tc>
        <w:tc>
          <w:tcPr/>
          <w:p>
            <w:pPr>
              <w:pStyle w:val="Compact"/>
            </w:pPr>
            <w:r>
              <w:t xml:space="preserve">Métodos (R$ de 2025; IPCA 12/2020→07/2026 para o microcusteio de 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Justificativa e descrição do modelo</w:t>
            </w:r>
          </w:p>
        </w:tc>
        <w:tc>
          <w:tcPr/>
          <w:p>
            <w:pPr>
              <w:pStyle w:val="Compact"/>
            </w:pPr>
            <w:r>
              <w:t xml:space="preserve">Métodos (duas equações de neutralidade, uma por PICO)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Análises e premissas</w:t>
            </w:r>
          </w:p>
        </w:tc>
        <w:tc>
          <w:tcPr/>
          <w:p>
            <w:pPr>
              <w:pStyle w:val="Compact"/>
            </w:pPr>
            <w:r>
              <w:t xml:space="preserve">Métodos (cenários; comparador por estrato como premissa declarada; pareamento Δ–revascularização por estudo)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Caracterização da heterogeneidade</w:t>
            </w:r>
          </w:p>
        </w:tc>
        <w:tc>
          <w:tcPr/>
          <w:p>
            <w:pPr>
              <w:pStyle w:val="Compact"/>
            </w:pPr>
            <w:r>
              <w:t xml:space="preserve">Tabelas 2 e S8 (estratos); Discussão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Caracterização de efeitos distributivos</w:t>
            </w:r>
          </w:p>
        </w:tc>
        <w:tc>
          <w:tcPr/>
          <w:p>
            <w:pPr>
              <w:pStyle w:val="Compact"/>
            </w:pPr>
            <w:r>
              <w:t xml:space="preserve">Resultados (capacidade por UF; CV e Gini; Figura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Caracterização da incerteza</w:t>
            </w:r>
          </w:p>
        </w:tc>
        <w:tc>
          <w:tcPr/>
          <w:p>
            <w:pPr>
              <w:pStyle w:val="Compact"/>
            </w:pPr>
            <w:r>
              <w:t xml:space="preserve">Faixas por Δ; sensibilidade C_CATE; Figura S1 (tornado)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Engajamento de pacientes e afetados</w:t>
            </w:r>
          </w:p>
        </w:tc>
        <w:tc>
          <w:tcPr/>
          <w:p>
            <w:pPr>
              <w:pStyle w:val="Compact"/>
            </w:pPr>
            <w:r>
              <w:t xml:space="preserve">NA (dados administrativos e literatura; sem engajamento)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Parâmetros do estudo</w:t>
            </w:r>
          </w:p>
        </w:tc>
        <w:tc>
          <w:tcPr/>
          <w:p>
            <w:pPr>
              <w:pStyle w:val="Compact"/>
            </w:pPr>
            <w:r>
              <w:t xml:space="preserve">Tabelas 1, S1, S2, S3, S4 e 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Resumo dos resultados principais</w:t>
            </w:r>
          </w:p>
        </w:tc>
        <w:tc>
          <w:tcPr/>
          <w:p>
            <w:pPr>
              <w:pStyle w:val="Compact"/>
            </w:pPr>
            <w:r>
              <w:t xml:space="preserve">Resultados; Tabela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Efeito da incerteza</w:t>
            </w:r>
          </w:p>
        </w:tc>
        <w:tc>
          <w:tcPr/>
          <w:p>
            <w:pPr>
              <w:pStyle w:val="Compact"/>
            </w:pPr>
            <w:r>
              <w:t xml:space="preserve">Resultados (faixas); Figura S1; notas da Tabela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Efeito do engajamento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Achados, limitações, generalização</w:t>
            </w:r>
          </w:p>
        </w:tc>
        <w:tc>
          <w:tcPr/>
          <w:p>
            <w:pPr>
              <w:pStyle w:val="Compact"/>
            </w:pPr>
            <w:r>
              <w:t xml:space="preserve">Discussão (Limitações; agenda de microcusteio)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Fonte de financiamento</w:t>
            </w:r>
          </w:p>
        </w:tc>
        <w:tc>
          <w:tcPr/>
          <w:p>
            <w:pPr>
              <w:pStyle w:val="Compact"/>
            </w:pPr>
            <w:r>
              <w:t xml:space="preserve">Declarações (nenhum)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Conflitos de interesse</w:t>
            </w:r>
          </w:p>
        </w:tc>
        <w:tc>
          <w:tcPr/>
          <w:p>
            <w:pPr>
              <w:pStyle w:val="Compact"/>
            </w:pPr>
            <w:r>
              <w:t xml:space="preserve">Declarações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2026-08-24T22:04:56Z</dcterms:created>
  <dcterms:modified xsi:type="dcterms:W3CDTF">2026-08-24T22:04:56Z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